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5DAA8" w14:textId="21C0ED6C" w:rsidR="005D6914" w:rsidRDefault="001C5C70">
      <w:pPr>
        <w:rPr>
          <w:lang w:val="en-CA"/>
        </w:rPr>
      </w:pPr>
      <w:bookmarkStart w:id="0" w:name="_GoBack"/>
      <w:bookmarkEnd w:id="0"/>
      <w:r>
        <w:rPr>
          <w:lang w:val="en-CA"/>
        </w:rPr>
        <w:t xml:space="preserve">&lt; VGH Guidelines for Management of Liver Transplantation </w:t>
      </w:r>
      <w:r w:rsidR="00243679">
        <w:rPr>
          <w:lang w:val="en-CA"/>
        </w:rPr>
        <w:t xml:space="preserve">(LT) </w:t>
      </w:r>
      <w:r>
        <w:rPr>
          <w:lang w:val="en-CA"/>
        </w:rPr>
        <w:t xml:space="preserve">Candidates with </w:t>
      </w:r>
      <w:proofErr w:type="spellStart"/>
      <w:r>
        <w:rPr>
          <w:lang w:val="en-CA"/>
        </w:rPr>
        <w:t>Portopulmonary</w:t>
      </w:r>
      <w:proofErr w:type="spellEnd"/>
      <w:r>
        <w:rPr>
          <w:lang w:val="en-CA"/>
        </w:rPr>
        <w:t xml:space="preserve"> Hypertension </w:t>
      </w:r>
      <w:r w:rsidR="003E2CDC">
        <w:rPr>
          <w:lang w:val="en-CA"/>
        </w:rPr>
        <w:t xml:space="preserve">(POPH) </w:t>
      </w:r>
      <w:r>
        <w:rPr>
          <w:lang w:val="en-CA"/>
        </w:rPr>
        <w:t>&gt;</w:t>
      </w:r>
    </w:p>
    <w:p w14:paraId="3AC21BF3" w14:textId="77777777" w:rsidR="001C5C70" w:rsidRDefault="001C5C70">
      <w:pPr>
        <w:rPr>
          <w:lang w:val="en-CA"/>
        </w:rPr>
      </w:pPr>
    </w:p>
    <w:p w14:paraId="0AE038AD" w14:textId="102B4F7B" w:rsidR="00C9060B" w:rsidRPr="00682C13" w:rsidRDefault="00C9060B" w:rsidP="00DA4C58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 w:rsidRPr="00682C13">
        <w:rPr>
          <w:sz w:val="20"/>
          <w:szCs w:val="20"/>
          <w:lang w:val="en-CA"/>
        </w:rPr>
        <w:t>Abbreviations</w:t>
      </w:r>
    </w:p>
    <w:p w14:paraId="046607DE" w14:textId="59487EA1" w:rsidR="00682C13" w:rsidRPr="00682C13" w:rsidRDefault="00682C13" w:rsidP="00C9060B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r w:rsidRPr="00682C13">
        <w:rPr>
          <w:sz w:val="20"/>
          <w:szCs w:val="20"/>
          <w:lang w:val="en-CA"/>
        </w:rPr>
        <w:t>LT: liver transplantation</w:t>
      </w:r>
    </w:p>
    <w:p w14:paraId="6052249C" w14:textId="4A53624B" w:rsidR="00682C13" w:rsidRPr="00682C13" w:rsidRDefault="00682C13" w:rsidP="00C9060B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r w:rsidRPr="00682C13">
        <w:rPr>
          <w:sz w:val="20"/>
          <w:szCs w:val="20"/>
          <w:lang w:val="en-CA"/>
        </w:rPr>
        <w:t>PH: pulmonary hypertension</w:t>
      </w:r>
    </w:p>
    <w:p w14:paraId="56EAFE51" w14:textId="3306FD72" w:rsidR="00C9060B" w:rsidRPr="00682C13" w:rsidRDefault="00C9060B" w:rsidP="00C9060B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r w:rsidRPr="00682C13">
        <w:rPr>
          <w:sz w:val="20"/>
          <w:szCs w:val="20"/>
          <w:lang w:val="en-CA"/>
        </w:rPr>
        <w:t xml:space="preserve">POPH: </w:t>
      </w:r>
      <w:proofErr w:type="spellStart"/>
      <w:r w:rsidRPr="00682C13">
        <w:rPr>
          <w:sz w:val="20"/>
          <w:szCs w:val="20"/>
          <w:lang w:val="en-CA"/>
        </w:rPr>
        <w:t>portopulmonary</w:t>
      </w:r>
      <w:proofErr w:type="spellEnd"/>
      <w:r w:rsidRPr="00682C13">
        <w:rPr>
          <w:sz w:val="20"/>
          <w:szCs w:val="20"/>
          <w:lang w:val="en-CA"/>
        </w:rPr>
        <w:t xml:space="preserve"> hypertension</w:t>
      </w:r>
    </w:p>
    <w:p w14:paraId="6894E44B" w14:textId="5E9FB65C" w:rsidR="00C9060B" w:rsidRPr="00682C13" w:rsidRDefault="00C9060B" w:rsidP="00C9060B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r w:rsidRPr="00682C13">
        <w:rPr>
          <w:sz w:val="20"/>
          <w:szCs w:val="20"/>
          <w:lang w:val="en-CA"/>
        </w:rPr>
        <w:t xml:space="preserve">RHC: right heart </w:t>
      </w:r>
      <w:proofErr w:type="spellStart"/>
      <w:r w:rsidRPr="00682C13">
        <w:rPr>
          <w:sz w:val="20"/>
          <w:szCs w:val="20"/>
          <w:lang w:val="en-CA"/>
        </w:rPr>
        <w:t>cath</w:t>
      </w:r>
      <w:proofErr w:type="spellEnd"/>
    </w:p>
    <w:p w14:paraId="2E35BCFB" w14:textId="673E3310" w:rsidR="00C9060B" w:rsidRPr="00682C13" w:rsidRDefault="00C9060B" w:rsidP="00C9060B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proofErr w:type="spellStart"/>
      <w:r w:rsidRPr="00682C13">
        <w:rPr>
          <w:sz w:val="20"/>
          <w:szCs w:val="20"/>
          <w:lang w:val="en-CA"/>
        </w:rPr>
        <w:t>mPAP</w:t>
      </w:r>
      <w:proofErr w:type="spellEnd"/>
      <w:r w:rsidRPr="00682C13">
        <w:rPr>
          <w:sz w:val="20"/>
          <w:szCs w:val="20"/>
          <w:lang w:val="en-CA"/>
        </w:rPr>
        <w:t>: mean pulmonary artery pressure</w:t>
      </w:r>
    </w:p>
    <w:p w14:paraId="3023C4B5" w14:textId="3BCBC33D" w:rsidR="00C9060B" w:rsidRPr="00682C13" w:rsidRDefault="00C9060B" w:rsidP="00C9060B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r w:rsidRPr="00682C13">
        <w:rPr>
          <w:sz w:val="20"/>
          <w:szCs w:val="20"/>
          <w:lang w:val="en-CA"/>
        </w:rPr>
        <w:t>PVR: pulmonary vascular resistance</w:t>
      </w:r>
    </w:p>
    <w:p w14:paraId="5839C873" w14:textId="114D19BB" w:rsidR="00C9060B" w:rsidRPr="00682C13" w:rsidRDefault="00C9060B" w:rsidP="00C9060B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r w:rsidRPr="00682C13">
        <w:rPr>
          <w:sz w:val="20"/>
          <w:szCs w:val="20"/>
          <w:lang w:val="en-CA"/>
        </w:rPr>
        <w:t xml:space="preserve">PCWP: pulmonary capillary wedge pressure </w:t>
      </w:r>
    </w:p>
    <w:p w14:paraId="130DBE60" w14:textId="517E32CB" w:rsidR="00C9060B" w:rsidRPr="00682C13" w:rsidRDefault="009E2DD0" w:rsidP="00C9060B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r w:rsidRPr="00682C13">
        <w:rPr>
          <w:sz w:val="20"/>
          <w:szCs w:val="20"/>
          <w:lang w:val="en-CA"/>
        </w:rPr>
        <w:t>TPG: transpulmonary gradient</w:t>
      </w:r>
    </w:p>
    <w:p w14:paraId="1C9A1E10" w14:textId="5F800F65" w:rsidR="00D60C25" w:rsidRPr="00682C13" w:rsidRDefault="00D60C25" w:rsidP="00C9060B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r w:rsidRPr="00682C13">
        <w:rPr>
          <w:sz w:val="20"/>
          <w:szCs w:val="20"/>
          <w:lang w:val="en-CA"/>
        </w:rPr>
        <w:t>CO: cardiac output</w:t>
      </w:r>
    </w:p>
    <w:p w14:paraId="4D2EBC0E" w14:textId="0885FF10" w:rsidR="00682C13" w:rsidRPr="00682C13" w:rsidRDefault="00682C13" w:rsidP="00C9060B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r w:rsidRPr="00682C13">
        <w:rPr>
          <w:sz w:val="20"/>
          <w:szCs w:val="20"/>
          <w:lang w:val="en-CA"/>
        </w:rPr>
        <w:t>TTE: transthoracic echocardiogram</w:t>
      </w:r>
    </w:p>
    <w:p w14:paraId="14F14F90" w14:textId="0D912B3F" w:rsidR="00682C13" w:rsidRPr="00682C13" w:rsidRDefault="00682C13" w:rsidP="00C9060B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r w:rsidRPr="00682C13">
        <w:rPr>
          <w:sz w:val="20"/>
          <w:szCs w:val="20"/>
          <w:lang w:val="en-CA"/>
        </w:rPr>
        <w:t>TEE: transesophageal echocardiogram</w:t>
      </w:r>
    </w:p>
    <w:p w14:paraId="68D117F0" w14:textId="38904068" w:rsidR="00682C13" w:rsidRPr="00682C13" w:rsidRDefault="00682C13" w:rsidP="00C9060B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r w:rsidRPr="00682C13">
        <w:rPr>
          <w:sz w:val="20"/>
          <w:szCs w:val="20"/>
          <w:lang w:val="en-CA"/>
        </w:rPr>
        <w:t>ECMO: extracorporeal membrane oxygenation</w:t>
      </w:r>
    </w:p>
    <w:p w14:paraId="1103B70B" w14:textId="323DC6E4" w:rsidR="00682C13" w:rsidRPr="00682C13" w:rsidRDefault="00682C13" w:rsidP="00C9060B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r w:rsidRPr="00682C13">
        <w:rPr>
          <w:sz w:val="20"/>
          <w:szCs w:val="20"/>
          <w:lang w:val="en-CA"/>
        </w:rPr>
        <w:t>PAC: pulmonary artery catheter</w:t>
      </w:r>
    </w:p>
    <w:p w14:paraId="1796C1B0" w14:textId="66AA0A8D" w:rsidR="00682C13" w:rsidRPr="00682C13" w:rsidRDefault="00682C13" w:rsidP="00682C13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r w:rsidRPr="00682C13">
        <w:rPr>
          <w:sz w:val="20"/>
          <w:szCs w:val="20"/>
          <w:lang w:val="en-CA"/>
        </w:rPr>
        <w:t>RVSP: right ventricular systolic pressure</w:t>
      </w:r>
    </w:p>
    <w:p w14:paraId="2463ABAD" w14:textId="77777777" w:rsidR="00682C13" w:rsidRPr="00682C13" w:rsidRDefault="00682C13" w:rsidP="00682C13">
      <w:pPr>
        <w:rPr>
          <w:lang w:val="en-CA"/>
        </w:rPr>
      </w:pPr>
    </w:p>
    <w:p w14:paraId="1BCC7B24" w14:textId="11E9417A" w:rsidR="00DA4C58" w:rsidRDefault="003E2CDC" w:rsidP="00DA4C58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Definition</w:t>
      </w:r>
      <w:r w:rsidR="00682C13">
        <w:rPr>
          <w:lang w:val="en-CA"/>
        </w:rPr>
        <w:t xml:space="preserve"> &amp;</w:t>
      </w:r>
      <w:r>
        <w:rPr>
          <w:lang w:val="en-CA"/>
        </w:rPr>
        <w:t xml:space="preserve"> </w:t>
      </w:r>
      <w:r w:rsidR="00C9060B">
        <w:rPr>
          <w:lang w:val="en-CA"/>
        </w:rPr>
        <w:t>C</w:t>
      </w:r>
      <w:r>
        <w:rPr>
          <w:lang w:val="en-CA"/>
        </w:rPr>
        <w:t xml:space="preserve">linical </w:t>
      </w:r>
      <w:r w:rsidR="00C9060B">
        <w:rPr>
          <w:lang w:val="en-CA"/>
        </w:rPr>
        <w:t>D</w:t>
      </w:r>
      <w:r>
        <w:rPr>
          <w:lang w:val="en-CA"/>
        </w:rPr>
        <w:t>iagnosis</w:t>
      </w:r>
      <w:r w:rsidR="00682C13">
        <w:rPr>
          <w:lang w:val="en-CA"/>
        </w:rPr>
        <w:t xml:space="preserve"> of POPH</w:t>
      </w:r>
    </w:p>
    <w:p w14:paraId="5BF9EDFA" w14:textId="0ADE62A5" w:rsidR="003E2CDC" w:rsidRDefault="003E2CDC" w:rsidP="003E2CDC">
      <w:pPr>
        <w:pStyle w:val="ListParagraph"/>
        <w:numPr>
          <w:ilvl w:val="1"/>
          <w:numId w:val="1"/>
        </w:numPr>
        <w:rPr>
          <w:lang w:val="en-CA"/>
        </w:rPr>
      </w:pPr>
      <w:r w:rsidRPr="003E2CDC">
        <w:rPr>
          <w:lang w:val="en-CA"/>
        </w:rPr>
        <w:t xml:space="preserve">Presence of </w:t>
      </w:r>
      <w:r w:rsidR="00682C13">
        <w:rPr>
          <w:lang w:val="en-CA"/>
        </w:rPr>
        <w:t>PH</w:t>
      </w:r>
      <w:r w:rsidRPr="003E2CDC">
        <w:rPr>
          <w:lang w:val="en-CA"/>
        </w:rPr>
        <w:t xml:space="preserve"> in a patient with portal hypertension</w:t>
      </w:r>
      <w:r>
        <w:rPr>
          <w:lang w:val="en-CA"/>
        </w:rPr>
        <w:t xml:space="preserve">, in whom other causes of </w:t>
      </w:r>
      <w:r w:rsidR="00682C13">
        <w:rPr>
          <w:lang w:val="en-CA"/>
        </w:rPr>
        <w:t>PH</w:t>
      </w:r>
      <w:r>
        <w:rPr>
          <w:lang w:val="en-CA"/>
        </w:rPr>
        <w:t xml:space="preserve"> have been ruled out</w:t>
      </w:r>
      <w:r w:rsidR="00682C13">
        <w:rPr>
          <w:lang w:val="en-CA"/>
        </w:rPr>
        <w:t xml:space="preserve">. </w:t>
      </w:r>
    </w:p>
    <w:p w14:paraId="32CDCAF3" w14:textId="5A272A07" w:rsidR="0003551B" w:rsidRDefault="0003551B" w:rsidP="0003551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Pulmonary hemodynamics must be evaluated by </w:t>
      </w:r>
      <w:r w:rsidR="00C9060B">
        <w:rPr>
          <w:lang w:val="en-CA"/>
        </w:rPr>
        <w:t xml:space="preserve">a </w:t>
      </w:r>
      <w:r w:rsidR="009E2DD0">
        <w:rPr>
          <w:lang w:val="en-CA"/>
        </w:rPr>
        <w:t xml:space="preserve">RHC. </w:t>
      </w:r>
      <w:r w:rsidR="00C9060B">
        <w:rPr>
          <w:lang w:val="en-CA"/>
        </w:rPr>
        <w:t xml:space="preserve"> </w:t>
      </w:r>
    </w:p>
    <w:p w14:paraId="10395E39" w14:textId="0FB9EAF3" w:rsidR="0003551B" w:rsidRDefault="009E2DD0" w:rsidP="0003551B">
      <w:pPr>
        <w:pStyle w:val="ListParagraph"/>
        <w:numPr>
          <w:ilvl w:val="2"/>
          <w:numId w:val="1"/>
        </w:numPr>
        <w:rPr>
          <w:lang w:val="en-CA"/>
        </w:rPr>
      </w:pPr>
      <w:proofErr w:type="spellStart"/>
      <w:r>
        <w:rPr>
          <w:lang w:val="en-CA"/>
        </w:rPr>
        <w:t>mPAP</w:t>
      </w:r>
      <w:proofErr w:type="spellEnd"/>
      <w:r w:rsidR="00C9060B">
        <w:rPr>
          <w:lang w:val="en-CA"/>
        </w:rPr>
        <w:t xml:space="preserve"> </w:t>
      </w:r>
      <w:r w:rsidR="0003551B">
        <w:rPr>
          <w:lang w:val="en-CA"/>
        </w:rPr>
        <w:t>&gt; 25 mmHg</w:t>
      </w:r>
    </w:p>
    <w:p w14:paraId="4EC21BDD" w14:textId="75BF6FA8" w:rsidR="0003551B" w:rsidRDefault="0003551B" w:rsidP="0003551B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PVR &gt; 240 dynes/s per cm-5</w:t>
      </w:r>
    </w:p>
    <w:p w14:paraId="3A3B3A27" w14:textId="0BBCD4C3" w:rsidR="0003551B" w:rsidRDefault="0003551B" w:rsidP="0003551B">
      <w:pPr>
        <w:pStyle w:val="ListParagraph"/>
        <w:numPr>
          <w:ilvl w:val="3"/>
          <w:numId w:val="1"/>
        </w:numPr>
        <w:rPr>
          <w:lang w:val="en-CA"/>
        </w:rPr>
      </w:pPr>
      <w:r>
        <w:rPr>
          <w:lang w:val="en-CA"/>
        </w:rPr>
        <w:t>PVR = (</w:t>
      </w:r>
      <w:proofErr w:type="spellStart"/>
      <w:r>
        <w:rPr>
          <w:lang w:val="en-CA"/>
        </w:rPr>
        <w:t>mPAP</w:t>
      </w:r>
      <w:proofErr w:type="spellEnd"/>
      <w:r>
        <w:rPr>
          <w:lang w:val="en-CA"/>
        </w:rPr>
        <w:t xml:space="preserve"> – PCWP)/CO * 80</w:t>
      </w:r>
    </w:p>
    <w:p w14:paraId="7C9856D0" w14:textId="0BAFD65A" w:rsidR="0003551B" w:rsidRPr="0003551B" w:rsidRDefault="0003551B" w:rsidP="00682C13">
      <w:pPr>
        <w:pStyle w:val="ListParagraph"/>
        <w:numPr>
          <w:ilvl w:val="3"/>
          <w:numId w:val="1"/>
        </w:numPr>
        <w:rPr>
          <w:lang w:val="en-CA"/>
        </w:rPr>
      </w:pPr>
      <w:r>
        <w:rPr>
          <w:lang w:val="en-CA"/>
        </w:rPr>
        <w:t>Normal PVR = 20-160 dynes/s per cm-5, or 0.25-2 Woods units</w:t>
      </w:r>
    </w:p>
    <w:p w14:paraId="45BD69DC" w14:textId="362D7F89" w:rsidR="0003551B" w:rsidRDefault="0003551B" w:rsidP="0003551B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PCWP &lt; 15 mmHg</w:t>
      </w:r>
    </w:p>
    <w:p w14:paraId="34BD7440" w14:textId="6FC0E292" w:rsidR="0003551B" w:rsidRDefault="0003551B" w:rsidP="0003551B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 xml:space="preserve">TPG = </w:t>
      </w:r>
      <w:proofErr w:type="spellStart"/>
      <w:r>
        <w:rPr>
          <w:lang w:val="en-CA"/>
        </w:rPr>
        <w:t>mPAP</w:t>
      </w:r>
      <w:proofErr w:type="spellEnd"/>
      <w:r>
        <w:rPr>
          <w:lang w:val="en-CA"/>
        </w:rPr>
        <w:t xml:space="preserve"> –</w:t>
      </w:r>
      <w:r w:rsidR="009E2DD0">
        <w:rPr>
          <w:lang w:val="en-CA"/>
        </w:rPr>
        <w:t xml:space="preserve"> PCWP</w:t>
      </w:r>
    </w:p>
    <w:p w14:paraId="509B7083" w14:textId="06839067" w:rsidR="0003551B" w:rsidRDefault="0003551B" w:rsidP="0003551B">
      <w:pPr>
        <w:pStyle w:val="ListParagraph"/>
        <w:numPr>
          <w:ilvl w:val="3"/>
          <w:numId w:val="1"/>
        </w:numPr>
        <w:rPr>
          <w:lang w:val="en-CA"/>
        </w:rPr>
      </w:pPr>
      <w:r>
        <w:rPr>
          <w:lang w:val="en-CA"/>
        </w:rPr>
        <w:t xml:space="preserve">TPG &gt; 12 mmHg reflects obstruction to flow, and distinguishes the contribution of volume and PVR to the increased </w:t>
      </w:r>
      <w:proofErr w:type="spellStart"/>
      <w:r>
        <w:rPr>
          <w:lang w:val="en-CA"/>
        </w:rPr>
        <w:t>mPAP</w:t>
      </w:r>
      <w:proofErr w:type="spellEnd"/>
      <w:r>
        <w:rPr>
          <w:lang w:val="en-CA"/>
        </w:rPr>
        <w:t>.</w:t>
      </w:r>
    </w:p>
    <w:p w14:paraId="1CE1681B" w14:textId="5BA47C5C" w:rsidR="00D60C25" w:rsidRDefault="00D60C25" w:rsidP="00D60C25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CO</w:t>
      </w:r>
      <w:r w:rsidR="00682C13">
        <w:rPr>
          <w:lang w:val="en-CA"/>
        </w:rPr>
        <w:t xml:space="preserve"> (L/min) </w:t>
      </w:r>
    </w:p>
    <w:p w14:paraId="4497BF66" w14:textId="237F0EA5" w:rsidR="003E2CDC" w:rsidRDefault="003E2CDC" w:rsidP="003E2CDC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Severity (assuming PVR is increased) </w:t>
      </w:r>
    </w:p>
    <w:p w14:paraId="67FDDE48" w14:textId="2E6F483C" w:rsidR="003E2CDC" w:rsidRPr="003E2CDC" w:rsidRDefault="003E2CDC" w:rsidP="003E2CDC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 xml:space="preserve">Mild: 25 </w:t>
      </w:r>
      <w:r>
        <w:rPr>
          <w:lang w:val="en-CA"/>
        </w:rPr>
        <w:sym w:font="Symbol" w:char="F0A3"/>
      </w:r>
      <w:r>
        <w:rPr>
          <w:lang w:val="en-CA"/>
        </w:rPr>
        <w:t xml:space="preserve"> </w:t>
      </w:r>
      <w:proofErr w:type="spellStart"/>
      <w:r>
        <w:rPr>
          <w:lang w:val="en-CA"/>
        </w:rPr>
        <w:t>mPAP</w:t>
      </w:r>
      <w:proofErr w:type="spellEnd"/>
      <w:r>
        <w:rPr>
          <w:lang w:val="en-CA"/>
        </w:rPr>
        <w:t xml:space="preserve"> (mean PAP) &lt; 35 mmHg </w:t>
      </w:r>
    </w:p>
    <w:p w14:paraId="1B8F167D" w14:textId="47929563" w:rsidR="003E2CDC" w:rsidRPr="003E2CDC" w:rsidRDefault="003E2CDC" w:rsidP="003E2CDC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 xml:space="preserve">Moderate: 35 </w:t>
      </w:r>
      <w:r>
        <w:rPr>
          <w:lang w:val="en-CA"/>
        </w:rPr>
        <w:sym w:font="Symbol" w:char="F0A3"/>
      </w:r>
      <w:r>
        <w:rPr>
          <w:lang w:val="en-CA"/>
        </w:rPr>
        <w:t xml:space="preserve"> </w:t>
      </w:r>
      <w:proofErr w:type="spellStart"/>
      <w:r>
        <w:rPr>
          <w:lang w:val="en-CA"/>
        </w:rPr>
        <w:t>mPAP</w:t>
      </w:r>
      <w:proofErr w:type="spellEnd"/>
      <w:r>
        <w:rPr>
          <w:lang w:val="en-CA"/>
        </w:rPr>
        <w:t xml:space="preserve"> &lt; 45</w:t>
      </w:r>
    </w:p>
    <w:p w14:paraId="14FF4AE9" w14:textId="5129A84E" w:rsidR="003E2CDC" w:rsidRDefault="003E2CDC" w:rsidP="003E2CDC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 xml:space="preserve">Severe: 45 </w:t>
      </w:r>
      <w:r>
        <w:rPr>
          <w:lang w:val="en-CA"/>
        </w:rPr>
        <w:sym w:font="Symbol" w:char="F0A3"/>
      </w:r>
      <w:r>
        <w:rPr>
          <w:lang w:val="en-CA"/>
        </w:rPr>
        <w:t xml:space="preserve"> </w:t>
      </w:r>
      <w:proofErr w:type="spellStart"/>
      <w:r>
        <w:rPr>
          <w:lang w:val="en-CA"/>
        </w:rPr>
        <w:t>mPAP</w:t>
      </w:r>
      <w:proofErr w:type="spellEnd"/>
    </w:p>
    <w:p w14:paraId="3F445D61" w14:textId="77777777" w:rsidR="00243679" w:rsidRPr="00243679" w:rsidRDefault="00243679" w:rsidP="00243679">
      <w:pPr>
        <w:rPr>
          <w:lang w:val="en-CA"/>
        </w:rPr>
      </w:pPr>
    </w:p>
    <w:p w14:paraId="0362A73D" w14:textId="7A8E5C7F" w:rsidR="00243679" w:rsidRDefault="00243679" w:rsidP="0024367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Clinical implications</w:t>
      </w:r>
    </w:p>
    <w:p w14:paraId="2CA7F5E9" w14:textId="5E4AC678" w:rsidR="00243679" w:rsidRDefault="00243679" w:rsidP="0024367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5-6% of LT candidates have hemodynamic criteria meeting diagnosis of POPH. </w:t>
      </w:r>
    </w:p>
    <w:p w14:paraId="45C6EB83" w14:textId="426AB96C" w:rsidR="00243679" w:rsidRDefault="00243679" w:rsidP="0024367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Presence or severity of POPH does not correlate with </w:t>
      </w:r>
      <w:r w:rsidR="003604F0">
        <w:rPr>
          <w:lang w:val="en-CA"/>
        </w:rPr>
        <w:t xml:space="preserve">the severity of liver disease </w:t>
      </w:r>
      <w:r>
        <w:rPr>
          <w:lang w:val="en-CA"/>
        </w:rPr>
        <w:t>or the degree of portal hypertension.</w:t>
      </w:r>
    </w:p>
    <w:p w14:paraId="02DD286E" w14:textId="0D26BA2C" w:rsidR="00243679" w:rsidRDefault="00243679" w:rsidP="0024367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Mild POPH is not associated with increased mortality or graft failure following LT.  </w:t>
      </w:r>
    </w:p>
    <w:p w14:paraId="01610DFF" w14:textId="0BCFEF9D" w:rsidR="00243679" w:rsidRDefault="00243679" w:rsidP="0024367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Moderate to severe POPH is associated with increased perioperative </w:t>
      </w:r>
      <w:r w:rsidR="003E325B">
        <w:rPr>
          <w:lang w:val="en-CA"/>
        </w:rPr>
        <w:t xml:space="preserve">morbidity and </w:t>
      </w:r>
      <w:r>
        <w:rPr>
          <w:lang w:val="en-CA"/>
        </w:rPr>
        <w:t xml:space="preserve">mortality. </w:t>
      </w:r>
    </w:p>
    <w:p w14:paraId="09D4BB85" w14:textId="085A5087" w:rsidR="00243679" w:rsidRDefault="00243679" w:rsidP="0024367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Many LT centres consider </w:t>
      </w:r>
      <w:proofErr w:type="spellStart"/>
      <w:r>
        <w:rPr>
          <w:lang w:val="en-CA"/>
        </w:rPr>
        <w:t>mPAP</w:t>
      </w:r>
      <w:proofErr w:type="spellEnd"/>
      <w:r>
        <w:rPr>
          <w:lang w:val="en-CA"/>
        </w:rPr>
        <w:t xml:space="preserve"> &gt; 50 mmHg</w:t>
      </w:r>
      <w:r w:rsidR="003E325B">
        <w:rPr>
          <w:lang w:val="en-CA"/>
        </w:rPr>
        <w:t xml:space="preserve"> (or &gt; 45 mmHg in some)</w:t>
      </w:r>
      <w:r>
        <w:rPr>
          <w:lang w:val="en-CA"/>
        </w:rPr>
        <w:t xml:space="preserve"> an absolute contraindication to LT due to prohibitively high risk of mortality. </w:t>
      </w:r>
    </w:p>
    <w:p w14:paraId="62C2D7F1" w14:textId="3B71CF27" w:rsidR="00243679" w:rsidRDefault="00243679" w:rsidP="0024367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lastRenderedPageBreak/>
        <w:t xml:space="preserve">The RV function should be taken into </w:t>
      </w:r>
      <w:r w:rsidR="003E325B">
        <w:rPr>
          <w:lang w:val="en-CA"/>
        </w:rPr>
        <w:t xml:space="preserve">an </w:t>
      </w:r>
      <w:r>
        <w:rPr>
          <w:lang w:val="en-CA"/>
        </w:rPr>
        <w:t>account when determining the likelihood o</w:t>
      </w:r>
      <w:r w:rsidR="003604F0">
        <w:rPr>
          <w:lang w:val="en-CA"/>
        </w:rPr>
        <w:t>f a successful transplantation.</w:t>
      </w:r>
    </w:p>
    <w:p w14:paraId="1824DD98" w14:textId="6FA3C9CC" w:rsidR="003604F0" w:rsidRDefault="003604F0" w:rsidP="003604F0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Any degree of RV dysfunction increase perioperative risk</w:t>
      </w:r>
    </w:p>
    <w:p w14:paraId="1444D4C1" w14:textId="392C052B" w:rsidR="003E325B" w:rsidRDefault="003E325B" w:rsidP="0024367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There is no data demonstrating predictable resolution of POPH following a successful LT. As such, POPH itself is not an indication for LT.    </w:t>
      </w:r>
    </w:p>
    <w:p w14:paraId="089B0DC3" w14:textId="77777777" w:rsidR="00243679" w:rsidRPr="00243679" w:rsidRDefault="00243679" w:rsidP="00243679">
      <w:pPr>
        <w:rPr>
          <w:lang w:val="en-CA"/>
        </w:rPr>
      </w:pPr>
    </w:p>
    <w:p w14:paraId="779473B7" w14:textId="49D8434F" w:rsidR="00243679" w:rsidRDefault="00243679" w:rsidP="0024367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Screening and Initial Evaluation</w:t>
      </w:r>
    </w:p>
    <w:p w14:paraId="5CA53B14" w14:textId="0F5C2EF2" w:rsidR="00243679" w:rsidRDefault="00243679" w:rsidP="0024367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All LT can</w:t>
      </w:r>
      <w:r w:rsidR="00C240B5">
        <w:rPr>
          <w:lang w:val="en-CA"/>
        </w:rPr>
        <w:t xml:space="preserve">didates should be screened for POPH with a </w:t>
      </w:r>
      <w:r w:rsidR="00682C13">
        <w:rPr>
          <w:lang w:val="en-CA"/>
        </w:rPr>
        <w:t>TTE.</w:t>
      </w:r>
      <w:r w:rsidR="00C240B5">
        <w:rPr>
          <w:lang w:val="en-CA"/>
        </w:rPr>
        <w:t xml:space="preserve"> </w:t>
      </w:r>
    </w:p>
    <w:p w14:paraId="7981901E" w14:textId="08F84904" w:rsidR="003604F0" w:rsidRDefault="003604F0" w:rsidP="003604F0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 xml:space="preserve">TTEs done in smaller none cardiac centres should be repeated at VGH with a focus on POPH </w:t>
      </w:r>
    </w:p>
    <w:p w14:paraId="3AD32DC5" w14:textId="093BD6A2" w:rsidR="00C240B5" w:rsidRDefault="00E336D3" w:rsidP="0024367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LT candidates </w:t>
      </w:r>
      <w:r w:rsidR="00682C13">
        <w:rPr>
          <w:lang w:val="en-CA"/>
        </w:rPr>
        <w:t>with RVSP</w:t>
      </w:r>
      <w:r w:rsidR="003604F0">
        <w:rPr>
          <w:lang w:val="en-CA"/>
        </w:rPr>
        <w:t xml:space="preserve"> &gt; 45</w:t>
      </w:r>
      <w:r>
        <w:rPr>
          <w:lang w:val="en-CA"/>
        </w:rPr>
        <w:t xml:space="preserve"> mmHg on TTE and/</w:t>
      </w:r>
      <w:r w:rsidR="003604F0">
        <w:rPr>
          <w:lang w:val="en-CA"/>
        </w:rPr>
        <w:t>or significant RV hypertrophy, dilation, or</w:t>
      </w:r>
      <w:r>
        <w:rPr>
          <w:lang w:val="en-CA"/>
        </w:rPr>
        <w:t xml:space="preserve"> dysfunction should be referred for RHC. </w:t>
      </w:r>
    </w:p>
    <w:p w14:paraId="57A5A79E" w14:textId="091C3D08" w:rsidR="003604F0" w:rsidRDefault="003604F0" w:rsidP="004C74A9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Patients referred for RHC should have Dr. Brunner requested to perform procedure</w:t>
      </w:r>
    </w:p>
    <w:p w14:paraId="35A73F5D" w14:textId="2D0BC064" w:rsidR="00E336D3" w:rsidRDefault="00682C13" w:rsidP="0024367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LT candidates with RHC</w:t>
      </w:r>
      <w:r w:rsidR="00E336D3">
        <w:rPr>
          <w:lang w:val="en-CA"/>
        </w:rPr>
        <w:t xml:space="preserve"> criteria</w:t>
      </w:r>
      <w:r w:rsidR="004C74A9">
        <w:rPr>
          <w:lang w:val="en-CA"/>
        </w:rPr>
        <w:t xml:space="preserve"> of POPH should be referred to the</w:t>
      </w:r>
      <w:r w:rsidR="00E336D3">
        <w:rPr>
          <w:lang w:val="en-CA"/>
        </w:rPr>
        <w:t xml:space="preserve"> </w:t>
      </w:r>
      <w:r>
        <w:rPr>
          <w:lang w:val="en-CA"/>
        </w:rPr>
        <w:t>PH</w:t>
      </w:r>
      <w:r w:rsidR="00E336D3">
        <w:rPr>
          <w:lang w:val="en-CA"/>
        </w:rPr>
        <w:t xml:space="preserve"> </w:t>
      </w:r>
      <w:r w:rsidR="004C74A9">
        <w:rPr>
          <w:lang w:val="en-CA"/>
        </w:rPr>
        <w:t>clinic</w:t>
      </w:r>
      <w:r w:rsidR="00E336D3">
        <w:rPr>
          <w:lang w:val="en-CA"/>
        </w:rPr>
        <w:t xml:space="preserve"> for consideration of pulmonary vasodilator therapy. </w:t>
      </w:r>
    </w:p>
    <w:p w14:paraId="5A915EB6" w14:textId="68B262C8" w:rsidR="00E336D3" w:rsidRDefault="004C74A9" w:rsidP="0024367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For patients with borderline RVSP (35-45 mmHg) r</w:t>
      </w:r>
      <w:r w:rsidR="00E336D3">
        <w:rPr>
          <w:lang w:val="en-CA"/>
        </w:rPr>
        <w:t>epeat TTE should be performed every 6 months</w:t>
      </w:r>
      <w:r>
        <w:rPr>
          <w:lang w:val="en-CA"/>
        </w:rPr>
        <w:t>.</w:t>
      </w:r>
    </w:p>
    <w:p w14:paraId="61D4487F" w14:textId="27EE2C25" w:rsidR="004C74A9" w:rsidRDefault="004C74A9" w:rsidP="004C74A9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Earlier repeat TTE should be considered if there is a change in clinical status</w:t>
      </w:r>
    </w:p>
    <w:p w14:paraId="1E849226" w14:textId="69DB1B24" w:rsidR="004C74A9" w:rsidRDefault="004C74A9" w:rsidP="004C74A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For patients treated for POPH repeat TTE will be performed regularly at the discretion of the PH clinic.</w:t>
      </w:r>
    </w:p>
    <w:p w14:paraId="431666FF" w14:textId="5EB3F9BA" w:rsidR="003E325B" w:rsidRDefault="003E325B" w:rsidP="0024367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Preoperative Management</w:t>
      </w:r>
    </w:p>
    <w:p w14:paraId="72DDE9B5" w14:textId="745D9361" w:rsidR="004C74A9" w:rsidRDefault="004C74A9" w:rsidP="003E325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Every effort should be made to perform these transplants during daytime hours when personnel and services are readily available.</w:t>
      </w:r>
    </w:p>
    <w:p w14:paraId="4D7A0F91" w14:textId="571AE116" w:rsidR="003E325B" w:rsidRDefault="003E325B" w:rsidP="003E325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A backup recipient candidate should be admitted </w:t>
      </w:r>
      <w:r w:rsidR="004C74A9">
        <w:rPr>
          <w:lang w:val="en-CA"/>
        </w:rPr>
        <w:t>to hospital</w:t>
      </w:r>
      <w:r>
        <w:rPr>
          <w:lang w:val="en-CA"/>
        </w:rPr>
        <w:t xml:space="preserve"> if </w:t>
      </w:r>
      <w:r w:rsidR="004C74A9">
        <w:rPr>
          <w:lang w:val="en-CA"/>
        </w:rPr>
        <w:t>a patient with POPH is the primary recipient candidate</w:t>
      </w:r>
      <w:r>
        <w:rPr>
          <w:lang w:val="en-CA"/>
        </w:rPr>
        <w:t xml:space="preserve">. </w:t>
      </w:r>
    </w:p>
    <w:p w14:paraId="79B9B3A3" w14:textId="4339C0B2" w:rsidR="003E325B" w:rsidRDefault="007B54E0" w:rsidP="003E325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In-hospital ECMO service should be notified of the </w:t>
      </w:r>
      <w:r w:rsidR="004C74A9">
        <w:rPr>
          <w:lang w:val="en-CA"/>
        </w:rPr>
        <w:t>booked</w:t>
      </w:r>
      <w:r>
        <w:rPr>
          <w:lang w:val="en-CA"/>
        </w:rPr>
        <w:t xml:space="preserve"> LT and </w:t>
      </w:r>
      <w:r w:rsidR="004C74A9">
        <w:rPr>
          <w:lang w:val="en-CA"/>
        </w:rPr>
        <w:t xml:space="preserve">the </w:t>
      </w:r>
      <w:r>
        <w:rPr>
          <w:lang w:val="en-CA"/>
        </w:rPr>
        <w:t xml:space="preserve">potential need for rescue ECMO in setting of pulmonary hypertensive crisis with RV failure. </w:t>
      </w:r>
    </w:p>
    <w:p w14:paraId="19A23E7D" w14:textId="00440261" w:rsidR="004C74A9" w:rsidRDefault="004C74A9" w:rsidP="004C74A9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The booking surgeon will notify the OR desk that the LT candidate has POPH and the anesthesiologist can then notify the ECMO service.</w:t>
      </w:r>
    </w:p>
    <w:p w14:paraId="7964B1AA" w14:textId="708A440E" w:rsidR="00243679" w:rsidRDefault="003E325B" w:rsidP="0024367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Intraoperative Management</w:t>
      </w:r>
    </w:p>
    <w:p w14:paraId="2700BF52" w14:textId="5D81623C" w:rsidR="00243679" w:rsidRDefault="003E325B" w:rsidP="003E325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PA</w:t>
      </w:r>
      <w:r w:rsidR="00682C13">
        <w:rPr>
          <w:lang w:val="en-CA"/>
        </w:rPr>
        <w:t>C</w:t>
      </w:r>
      <w:r>
        <w:rPr>
          <w:lang w:val="en-CA"/>
        </w:rPr>
        <w:t xml:space="preserve"> monitoring should be conducted prior to an</w:t>
      </w:r>
      <w:r w:rsidR="009B7BA4">
        <w:rPr>
          <w:lang w:val="en-CA"/>
        </w:rPr>
        <w:t xml:space="preserve">d during LT in all adult cases of known POPH. </w:t>
      </w:r>
    </w:p>
    <w:p w14:paraId="1CF4BDA4" w14:textId="32FBC46B" w:rsidR="003E325B" w:rsidRDefault="003E325B" w:rsidP="003E325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TEE monitoring should be conducted in the setting of POPH </w:t>
      </w:r>
      <w:r w:rsidR="00682C13">
        <w:rPr>
          <w:lang w:val="en-CA"/>
        </w:rPr>
        <w:t>to monitor RV function, unless absolutely contraindicated</w:t>
      </w:r>
    </w:p>
    <w:p w14:paraId="19135C86" w14:textId="2E80AB55" w:rsidR="009B7BA4" w:rsidRPr="009B7BA4" w:rsidRDefault="00682C13" w:rsidP="009B7BA4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Intraoperative, post-induction, pre-abdominal incision</w:t>
      </w:r>
      <w:r w:rsidR="003E325B">
        <w:rPr>
          <w:lang w:val="en-CA"/>
        </w:rPr>
        <w:t xml:space="preserve"> </w:t>
      </w:r>
      <w:proofErr w:type="spellStart"/>
      <w:r w:rsidR="009B7BA4">
        <w:rPr>
          <w:lang w:val="en-CA"/>
        </w:rPr>
        <w:t>mPAP</w:t>
      </w:r>
      <w:proofErr w:type="spellEnd"/>
      <w:r w:rsidR="009B7BA4">
        <w:rPr>
          <w:lang w:val="en-CA"/>
        </w:rPr>
        <w:t>, CO, PCWP, and PVR should be measured with PAC</w:t>
      </w:r>
      <w:r>
        <w:rPr>
          <w:lang w:val="en-CA"/>
        </w:rPr>
        <w:t xml:space="preserve">. </w:t>
      </w:r>
    </w:p>
    <w:p w14:paraId="514F16F4" w14:textId="1939AE01" w:rsidR="009B7BA4" w:rsidRDefault="009B7BA4" w:rsidP="003E325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If </w:t>
      </w:r>
      <w:proofErr w:type="spellStart"/>
      <w:r>
        <w:rPr>
          <w:lang w:val="en-CA"/>
        </w:rPr>
        <w:t>mPAP</w:t>
      </w:r>
      <w:proofErr w:type="spellEnd"/>
      <w:r>
        <w:rPr>
          <w:lang w:val="en-CA"/>
        </w:rPr>
        <w:t xml:space="preserve"> &lt; 35 mmHg</w:t>
      </w:r>
      <w:r w:rsidR="00682C13">
        <w:rPr>
          <w:lang w:val="en-CA"/>
        </w:rPr>
        <w:t>,</w:t>
      </w:r>
    </w:p>
    <w:p w14:paraId="765BA5E5" w14:textId="66FFDB69" w:rsidR="009B7BA4" w:rsidRDefault="009B7BA4" w:rsidP="009B7BA4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 xml:space="preserve">Proceed with LT if RV function is preserved. </w:t>
      </w:r>
    </w:p>
    <w:p w14:paraId="7139017E" w14:textId="54D512D6" w:rsidR="009B7BA4" w:rsidRDefault="009B7BA4" w:rsidP="00473C99">
      <w:pPr>
        <w:pStyle w:val="ListParagraph"/>
        <w:numPr>
          <w:ilvl w:val="1"/>
          <w:numId w:val="1"/>
        </w:numPr>
        <w:rPr>
          <w:lang w:val="en-CA"/>
        </w:rPr>
      </w:pPr>
      <w:r w:rsidRPr="009B7BA4">
        <w:rPr>
          <w:lang w:val="en-CA"/>
        </w:rPr>
        <w:t xml:space="preserve">If </w:t>
      </w:r>
      <w:r>
        <w:rPr>
          <w:lang w:val="en-CA"/>
        </w:rPr>
        <w:t xml:space="preserve">35 </w:t>
      </w:r>
      <w:r>
        <w:rPr>
          <w:lang w:val="en-CA"/>
        </w:rPr>
        <w:sym w:font="Symbol" w:char="F0A3"/>
      </w:r>
      <w:r>
        <w:rPr>
          <w:lang w:val="en-CA"/>
        </w:rPr>
        <w:t xml:space="preserve"> </w:t>
      </w:r>
      <w:proofErr w:type="spellStart"/>
      <w:r>
        <w:rPr>
          <w:lang w:val="en-CA"/>
        </w:rPr>
        <w:t>mPAP</w:t>
      </w:r>
      <w:proofErr w:type="spellEnd"/>
      <w:r>
        <w:rPr>
          <w:lang w:val="en-CA"/>
        </w:rPr>
        <w:t xml:space="preserve"> &lt; 45 mmHg</w:t>
      </w:r>
      <w:r w:rsidR="00682C13">
        <w:rPr>
          <w:lang w:val="en-CA"/>
        </w:rPr>
        <w:t>,</w:t>
      </w:r>
    </w:p>
    <w:p w14:paraId="4C1BE2DC" w14:textId="64DADE6C" w:rsidR="004C74A9" w:rsidRDefault="004C74A9" w:rsidP="009B7BA4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PVR &lt; 240 and TPG &lt;12</w:t>
      </w:r>
    </w:p>
    <w:p w14:paraId="2A0B4D80" w14:textId="60D66912" w:rsidR="009B7BA4" w:rsidRDefault="009B7BA4" w:rsidP="004C74A9">
      <w:pPr>
        <w:pStyle w:val="ListParagraph"/>
        <w:numPr>
          <w:ilvl w:val="3"/>
          <w:numId w:val="1"/>
        </w:numPr>
        <w:rPr>
          <w:lang w:val="en-CA"/>
        </w:rPr>
      </w:pPr>
      <w:r>
        <w:rPr>
          <w:lang w:val="en-CA"/>
        </w:rPr>
        <w:t xml:space="preserve">Proceed with LT if RV function is preserved. </w:t>
      </w:r>
    </w:p>
    <w:p w14:paraId="3B93CEEB" w14:textId="361CD553" w:rsidR="004C74A9" w:rsidRDefault="004C74A9" w:rsidP="004C74A9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PVR &gt; 240 or TPG &gt;12</w:t>
      </w:r>
    </w:p>
    <w:p w14:paraId="3075E69D" w14:textId="6217EDCB" w:rsidR="004C74A9" w:rsidRDefault="004C74A9" w:rsidP="004C74A9">
      <w:pPr>
        <w:pStyle w:val="ListParagraph"/>
        <w:numPr>
          <w:ilvl w:val="3"/>
          <w:numId w:val="1"/>
        </w:numPr>
        <w:rPr>
          <w:lang w:val="en-CA"/>
        </w:rPr>
      </w:pPr>
      <w:r>
        <w:rPr>
          <w:lang w:val="en-CA"/>
        </w:rPr>
        <w:t>Refer to PH clinic for optimization prior to LT</w:t>
      </w:r>
    </w:p>
    <w:p w14:paraId="04D8F5F4" w14:textId="636384BD" w:rsidR="009B7BA4" w:rsidRPr="009B7BA4" w:rsidRDefault="009B7BA4" w:rsidP="009B7BA4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lastRenderedPageBreak/>
        <w:t xml:space="preserve">Consider intraoperative pulmonary vasodilatory therapy including inhaled nitric oxide and/or intravenous milrinone, especially during reperfusion. </w:t>
      </w:r>
    </w:p>
    <w:p w14:paraId="28B7BCBA" w14:textId="77777777" w:rsidR="009B7BA4" w:rsidRDefault="003E325B" w:rsidP="00473C99">
      <w:pPr>
        <w:pStyle w:val="ListParagraph"/>
        <w:numPr>
          <w:ilvl w:val="1"/>
          <w:numId w:val="1"/>
        </w:numPr>
        <w:rPr>
          <w:lang w:val="en-CA"/>
        </w:rPr>
      </w:pPr>
      <w:r w:rsidRPr="009B7BA4">
        <w:rPr>
          <w:lang w:val="en-CA"/>
        </w:rPr>
        <w:t xml:space="preserve">If </w:t>
      </w:r>
      <w:proofErr w:type="spellStart"/>
      <w:r w:rsidRPr="009B7BA4">
        <w:rPr>
          <w:lang w:val="en-CA"/>
        </w:rPr>
        <w:t>mPAP</w:t>
      </w:r>
      <w:proofErr w:type="spellEnd"/>
      <w:r w:rsidRPr="009B7BA4">
        <w:rPr>
          <w:lang w:val="en-CA"/>
        </w:rPr>
        <w:t xml:space="preserve"> </w:t>
      </w:r>
      <w:r w:rsidR="009B7BA4">
        <w:rPr>
          <w:lang w:val="en-CA"/>
        </w:rPr>
        <w:t>&gt;</w:t>
      </w:r>
      <w:r w:rsidRPr="009B7BA4">
        <w:rPr>
          <w:lang w:val="en-CA"/>
        </w:rPr>
        <w:t xml:space="preserve"> 45-50 mmHg </w:t>
      </w:r>
    </w:p>
    <w:p w14:paraId="4E045DA1" w14:textId="7D39434E" w:rsidR="009B7BA4" w:rsidRDefault="00682C13" w:rsidP="009B7BA4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 xml:space="preserve">Abort LT. </w:t>
      </w:r>
    </w:p>
    <w:p w14:paraId="4DB014A8" w14:textId="07F1266E" w:rsidR="009B7BA4" w:rsidRPr="009B7BA4" w:rsidRDefault="009B7BA4" w:rsidP="009B7BA4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 xml:space="preserve">Etiology and reversibility of elevated PAP should be assessed. </w:t>
      </w:r>
    </w:p>
    <w:p w14:paraId="51256D52" w14:textId="27E9BE93" w:rsidR="007B54E0" w:rsidRDefault="007B54E0" w:rsidP="007B54E0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ECMO should be considered for acute rise in </w:t>
      </w:r>
      <w:proofErr w:type="spellStart"/>
      <w:r>
        <w:rPr>
          <w:lang w:val="en-CA"/>
        </w:rPr>
        <w:t>mPAP</w:t>
      </w:r>
      <w:proofErr w:type="spellEnd"/>
      <w:r>
        <w:rPr>
          <w:lang w:val="en-CA"/>
        </w:rPr>
        <w:t xml:space="preserve"> with RV dysfunction. </w:t>
      </w:r>
    </w:p>
    <w:p w14:paraId="3B68EB44" w14:textId="77777777" w:rsidR="003E325B" w:rsidRPr="00846E91" w:rsidRDefault="003E325B" w:rsidP="00846E91">
      <w:pPr>
        <w:rPr>
          <w:lang w:val="en-CA"/>
        </w:rPr>
      </w:pPr>
    </w:p>
    <w:p w14:paraId="62B8813B" w14:textId="5BF694E4" w:rsidR="00243679" w:rsidRPr="00682C13" w:rsidRDefault="00846E91" w:rsidP="00243679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 w:rsidRPr="00682C13">
        <w:rPr>
          <w:sz w:val="20"/>
          <w:szCs w:val="20"/>
          <w:lang w:val="en-CA"/>
        </w:rPr>
        <w:t>References</w:t>
      </w:r>
    </w:p>
    <w:p w14:paraId="037FE165" w14:textId="5E848869" w:rsidR="00846E91" w:rsidRPr="00682C13" w:rsidRDefault="0043052C" w:rsidP="00846E91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proofErr w:type="spellStart"/>
      <w:r w:rsidRPr="00682C13">
        <w:rPr>
          <w:sz w:val="20"/>
          <w:szCs w:val="20"/>
          <w:lang w:val="en-CA"/>
        </w:rPr>
        <w:t>Krowka</w:t>
      </w:r>
      <w:proofErr w:type="spellEnd"/>
      <w:r w:rsidRPr="00682C13">
        <w:rPr>
          <w:sz w:val="20"/>
          <w:szCs w:val="20"/>
          <w:lang w:val="en-CA"/>
        </w:rPr>
        <w:t xml:space="preserve"> </w:t>
      </w:r>
      <w:r w:rsidR="009B7BA4" w:rsidRPr="00682C13">
        <w:rPr>
          <w:sz w:val="20"/>
          <w:szCs w:val="20"/>
          <w:lang w:val="en-CA"/>
        </w:rPr>
        <w:t xml:space="preserve">MJ, Fallon MB, </w:t>
      </w:r>
      <w:proofErr w:type="spellStart"/>
      <w:r w:rsidR="009B7BA4" w:rsidRPr="00682C13">
        <w:rPr>
          <w:sz w:val="20"/>
          <w:szCs w:val="20"/>
          <w:lang w:val="en-CA"/>
        </w:rPr>
        <w:t>Kawut</w:t>
      </w:r>
      <w:proofErr w:type="spellEnd"/>
      <w:r w:rsidR="009B7BA4" w:rsidRPr="00682C13">
        <w:rPr>
          <w:sz w:val="20"/>
          <w:szCs w:val="20"/>
          <w:lang w:val="en-CA"/>
        </w:rPr>
        <w:t xml:space="preserve"> SM, et al. International Liver Transplant Society Practice Guidelines: Diagnosis and Management of </w:t>
      </w:r>
      <w:proofErr w:type="spellStart"/>
      <w:r w:rsidR="009B7BA4" w:rsidRPr="00682C13">
        <w:rPr>
          <w:sz w:val="20"/>
          <w:szCs w:val="20"/>
          <w:lang w:val="en-CA"/>
        </w:rPr>
        <w:t>Hepatopulmonary</w:t>
      </w:r>
      <w:proofErr w:type="spellEnd"/>
      <w:r w:rsidR="009B7BA4" w:rsidRPr="00682C13">
        <w:rPr>
          <w:sz w:val="20"/>
          <w:szCs w:val="20"/>
          <w:lang w:val="en-CA"/>
        </w:rPr>
        <w:t xml:space="preserve"> Syndrome and </w:t>
      </w:r>
      <w:proofErr w:type="spellStart"/>
      <w:r w:rsidR="009B7BA4" w:rsidRPr="00682C13">
        <w:rPr>
          <w:sz w:val="20"/>
          <w:szCs w:val="20"/>
          <w:lang w:val="en-CA"/>
        </w:rPr>
        <w:t>Portopulmonary</w:t>
      </w:r>
      <w:proofErr w:type="spellEnd"/>
      <w:r w:rsidR="009B7BA4" w:rsidRPr="00682C13">
        <w:rPr>
          <w:sz w:val="20"/>
          <w:szCs w:val="20"/>
          <w:lang w:val="en-CA"/>
        </w:rPr>
        <w:t xml:space="preserve"> Hypertension. </w:t>
      </w:r>
      <w:r w:rsidR="009B7BA4" w:rsidRPr="00682C13">
        <w:rPr>
          <w:i/>
          <w:sz w:val="20"/>
          <w:szCs w:val="20"/>
          <w:lang w:val="en-CA"/>
        </w:rPr>
        <w:t>Transplantation</w:t>
      </w:r>
      <w:r w:rsidR="009B7BA4" w:rsidRPr="00682C13">
        <w:rPr>
          <w:sz w:val="20"/>
          <w:szCs w:val="20"/>
          <w:lang w:val="en-CA"/>
        </w:rPr>
        <w:t xml:space="preserve"> 2016;100(7):1440-52. </w:t>
      </w:r>
    </w:p>
    <w:p w14:paraId="0A057322" w14:textId="736DA901" w:rsidR="00243679" w:rsidRPr="00682C13" w:rsidRDefault="00B7318C" w:rsidP="00B7318C">
      <w:pPr>
        <w:pStyle w:val="ListParagraph"/>
        <w:numPr>
          <w:ilvl w:val="1"/>
          <w:numId w:val="1"/>
        </w:numPr>
        <w:rPr>
          <w:sz w:val="20"/>
          <w:szCs w:val="20"/>
          <w:lang w:val="en-CA"/>
        </w:rPr>
      </w:pPr>
      <w:r w:rsidRPr="00682C13">
        <w:rPr>
          <w:sz w:val="20"/>
          <w:szCs w:val="20"/>
          <w:lang w:val="en-CA"/>
        </w:rPr>
        <w:t xml:space="preserve">Ramsay M. </w:t>
      </w:r>
      <w:proofErr w:type="spellStart"/>
      <w:r w:rsidRPr="00682C13">
        <w:rPr>
          <w:sz w:val="20"/>
          <w:szCs w:val="20"/>
          <w:lang w:val="en-CA"/>
        </w:rPr>
        <w:t>Portopulmonary</w:t>
      </w:r>
      <w:proofErr w:type="spellEnd"/>
      <w:r w:rsidRPr="00682C13">
        <w:rPr>
          <w:sz w:val="20"/>
          <w:szCs w:val="20"/>
          <w:lang w:val="en-CA"/>
        </w:rPr>
        <w:t xml:space="preserve"> Hypertension and Right Heart Failure in Patients with Cirrhosis. </w:t>
      </w:r>
      <w:proofErr w:type="spellStart"/>
      <w:r w:rsidRPr="00682C13">
        <w:rPr>
          <w:i/>
          <w:sz w:val="20"/>
          <w:szCs w:val="20"/>
          <w:lang w:val="en-CA"/>
        </w:rPr>
        <w:t>Curr</w:t>
      </w:r>
      <w:proofErr w:type="spellEnd"/>
      <w:r w:rsidRPr="00682C13">
        <w:rPr>
          <w:i/>
          <w:sz w:val="20"/>
          <w:szCs w:val="20"/>
          <w:lang w:val="en-CA"/>
        </w:rPr>
        <w:t xml:space="preserve"> </w:t>
      </w:r>
      <w:proofErr w:type="spellStart"/>
      <w:r w:rsidRPr="00682C13">
        <w:rPr>
          <w:i/>
          <w:sz w:val="20"/>
          <w:szCs w:val="20"/>
          <w:lang w:val="en-CA"/>
        </w:rPr>
        <w:t>Opin</w:t>
      </w:r>
      <w:proofErr w:type="spellEnd"/>
      <w:r w:rsidRPr="00682C13">
        <w:rPr>
          <w:i/>
          <w:sz w:val="20"/>
          <w:szCs w:val="20"/>
          <w:lang w:val="en-CA"/>
        </w:rPr>
        <w:t xml:space="preserve"> </w:t>
      </w:r>
      <w:proofErr w:type="spellStart"/>
      <w:r w:rsidRPr="00682C13">
        <w:rPr>
          <w:i/>
          <w:sz w:val="20"/>
          <w:szCs w:val="20"/>
          <w:lang w:val="en-CA"/>
        </w:rPr>
        <w:t>Anaesthesiol</w:t>
      </w:r>
      <w:proofErr w:type="spellEnd"/>
      <w:r w:rsidRPr="00682C13">
        <w:rPr>
          <w:sz w:val="20"/>
          <w:szCs w:val="20"/>
          <w:lang w:val="en-CA"/>
        </w:rPr>
        <w:t xml:space="preserve"> 2010</w:t>
      </w:r>
      <w:proofErr w:type="gramStart"/>
      <w:r w:rsidRPr="00682C13">
        <w:rPr>
          <w:sz w:val="20"/>
          <w:szCs w:val="20"/>
          <w:lang w:val="en-CA"/>
        </w:rPr>
        <w:t>;23:145</w:t>
      </w:r>
      <w:proofErr w:type="gramEnd"/>
      <w:r w:rsidRPr="00682C13">
        <w:rPr>
          <w:sz w:val="20"/>
          <w:szCs w:val="20"/>
          <w:lang w:val="en-CA"/>
        </w:rPr>
        <w:t xml:space="preserve">-50. </w:t>
      </w:r>
    </w:p>
    <w:sectPr w:rsidR="00243679" w:rsidRPr="00682C13" w:rsidSect="00684C0A">
      <w:footerReference w:type="default" r:id="rId7"/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6AA36" w14:textId="77777777" w:rsidR="006D5AB3" w:rsidRDefault="006D5AB3" w:rsidP="00C9060B">
      <w:r>
        <w:separator/>
      </w:r>
    </w:p>
  </w:endnote>
  <w:endnote w:type="continuationSeparator" w:id="0">
    <w:p w14:paraId="364F22EE" w14:textId="77777777" w:rsidR="006D5AB3" w:rsidRDefault="006D5AB3" w:rsidP="00C9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65AED" w14:textId="30DD1330" w:rsidR="00C9060B" w:rsidRDefault="00C9060B" w:rsidP="00F542C1">
    <w:pPr>
      <w:pStyle w:val="Footer"/>
      <w:jc w:val="center"/>
    </w:pPr>
    <w:r>
      <w:t xml:space="preserve">Ver. </w:t>
    </w:r>
    <w:r w:rsidR="00F542C1">
      <w:t>November 2019. S Moore and J Park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A7905" w14:textId="77777777" w:rsidR="006D5AB3" w:rsidRDefault="006D5AB3" w:rsidP="00C9060B">
      <w:r>
        <w:separator/>
      </w:r>
    </w:p>
  </w:footnote>
  <w:footnote w:type="continuationSeparator" w:id="0">
    <w:p w14:paraId="353E92B1" w14:textId="77777777" w:rsidR="006D5AB3" w:rsidRDefault="006D5AB3" w:rsidP="00C9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90756"/>
    <w:multiLevelType w:val="hybridMultilevel"/>
    <w:tmpl w:val="1272F6CE"/>
    <w:lvl w:ilvl="0" w:tplc="8FBC8DA8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70"/>
    <w:rsid w:val="0003551B"/>
    <w:rsid w:val="001C5C70"/>
    <w:rsid w:val="00243679"/>
    <w:rsid w:val="003604F0"/>
    <w:rsid w:val="00386F31"/>
    <w:rsid w:val="003E2CDC"/>
    <w:rsid w:val="003E325B"/>
    <w:rsid w:val="0043052C"/>
    <w:rsid w:val="00495F0A"/>
    <w:rsid w:val="004C74A9"/>
    <w:rsid w:val="005D6914"/>
    <w:rsid w:val="00682C13"/>
    <w:rsid w:val="0068413F"/>
    <w:rsid w:val="00684C0A"/>
    <w:rsid w:val="006D5AB3"/>
    <w:rsid w:val="007B54E0"/>
    <w:rsid w:val="008245E8"/>
    <w:rsid w:val="00846E91"/>
    <w:rsid w:val="009B7BA4"/>
    <w:rsid w:val="009D4F44"/>
    <w:rsid w:val="009E2DD0"/>
    <w:rsid w:val="00A34951"/>
    <w:rsid w:val="00B7318C"/>
    <w:rsid w:val="00C240B5"/>
    <w:rsid w:val="00C9060B"/>
    <w:rsid w:val="00D60C25"/>
    <w:rsid w:val="00DA4C58"/>
    <w:rsid w:val="00E336D3"/>
    <w:rsid w:val="00F5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10A6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6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60B"/>
  </w:style>
  <w:style w:type="paragraph" w:styleId="Footer">
    <w:name w:val="footer"/>
    <w:basedOn w:val="Normal"/>
    <w:link w:val="FooterChar"/>
    <w:uiPriority w:val="99"/>
    <w:unhideWhenUsed/>
    <w:rsid w:val="00C90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Jeieung Park</dc:creator>
  <cp:lastModifiedBy>Park, JeiEung [VCH]</cp:lastModifiedBy>
  <cp:revision>2</cp:revision>
  <dcterms:created xsi:type="dcterms:W3CDTF">2021-02-08T15:45:00Z</dcterms:created>
  <dcterms:modified xsi:type="dcterms:W3CDTF">2021-02-08T15:45:00Z</dcterms:modified>
</cp:coreProperties>
</file>