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0DA9" w14:textId="78BC25B6" w:rsidR="00CF5331" w:rsidRPr="00EC165E" w:rsidRDefault="00CF5331" w:rsidP="00EC165E">
      <w:pPr>
        <w:pStyle w:val="paragraph"/>
        <w:spacing w:before="0" w:beforeAutospacing="0" w:after="0" w:afterAutospacing="0"/>
        <w:jc w:val="center"/>
        <w:textAlignment w:val="baseline"/>
        <w:rPr>
          <w:rFonts w:ascii="Calibri" w:hAnsi="Calibri" w:cs="Calibri"/>
          <w:sz w:val="28"/>
          <w:szCs w:val="28"/>
        </w:rPr>
      </w:pPr>
      <w:r w:rsidRPr="00EC165E">
        <w:rPr>
          <w:rStyle w:val="normaltextrun"/>
          <w:rFonts w:ascii="Calibri" w:hAnsi="Calibri" w:cs="Calibri"/>
          <w:b/>
          <w:bCs/>
          <w:sz w:val="28"/>
          <w:szCs w:val="28"/>
          <w:u w:val="single"/>
          <w:lang w:val="en-US"/>
        </w:rPr>
        <w:t>Anesthesia for pancreas transplant</w:t>
      </w:r>
      <w:r w:rsidRPr="00EC165E">
        <w:rPr>
          <w:rStyle w:val="eop"/>
          <w:rFonts w:ascii="Calibri" w:hAnsi="Calibri" w:cs="Calibri"/>
          <w:sz w:val="28"/>
          <w:szCs w:val="28"/>
        </w:rPr>
        <w:t> </w:t>
      </w:r>
    </w:p>
    <w:p w14:paraId="1FF9F572"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5349E35D"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Background</w:t>
      </w:r>
      <w:r>
        <w:rPr>
          <w:rStyle w:val="eop"/>
          <w:rFonts w:ascii="Calibri" w:hAnsi="Calibri" w:cs="Calibri"/>
          <w:sz w:val="22"/>
          <w:szCs w:val="22"/>
        </w:rPr>
        <w:t> </w:t>
      </w:r>
    </w:p>
    <w:p w14:paraId="54A45587" w14:textId="77777777" w:rsidR="00695578" w:rsidRDefault="00695578" w:rsidP="00CF5331">
      <w:pPr>
        <w:pStyle w:val="paragraph"/>
        <w:spacing w:before="0" w:beforeAutospacing="0" w:after="0" w:afterAutospacing="0"/>
        <w:textAlignment w:val="baseline"/>
        <w:rPr>
          <w:rStyle w:val="normaltextrun"/>
          <w:rFonts w:ascii="Calibri" w:hAnsi="Calibri" w:cs="Calibri"/>
          <w:sz w:val="22"/>
          <w:szCs w:val="22"/>
          <w:lang w:val="en-US"/>
        </w:rPr>
      </w:pPr>
    </w:p>
    <w:p w14:paraId="3F7207B7" w14:textId="627DAD21"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Most pancreas transplants will be combined with kidney transplants (simultaneous pancreas kidney transplant – </w:t>
      </w:r>
      <w:r w:rsidR="00B22CB9">
        <w:rPr>
          <w:rStyle w:val="normaltextrun"/>
          <w:rFonts w:ascii="Calibri" w:hAnsi="Calibri" w:cs="Calibri"/>
          <w:sz w:val="22"/>
          <w:szCs w:val="22"/>
          <w:lang w:val="en-US"/>
        </w:rPr>
        <w:t>SPK) for patients with type 1 diabetes mellitus (DM)</w:t>
      </w:r>
      <w:r>
        <w:rPr>
          <w:rStyle w:val="normaltextrun"/>
          <w:rFonts w:ascii="Calibri" w:hAnsi="Calibri" w:cs="Calibri"/>
          <w:sz w:val="22"/>
          <w:szCs w:val="22"/>
          <w:lang w:val="en-US"/>
        </w:rPr>
        <w:t xml:space="preserve"> and end-stage renal disease</w:t>
      </w:r>
      <w:r w:rsidR="0053233B">
        <w:rPr>
          <w:rStyle w:val="normaltextrun"/>
          <w:rFonts w:ascii="Calibri" w:hAnsi="Calibri" w:cs="Calibri"/>
          <w:sz w:val="22"/>
          <w:szCs w:val="22"/>
          <w:lang w:val="en-US"/>
        </w:rPr>
        <w:t xml:space="preserve"> (ESRD)</w:t>
      </w:r>
      <w:r>
        <w:rPr>
          <w:rStyle w:val="normaltextrun"/>
          <w:rFonts w:ascii="Calibri" w:hAnsi="Calibri" w:cs="Calibri"/>
          <w:sz w:val="22"/>
          <w:szCs w:val="22"/>
          <w:lang w:val="en-US"/>
        </w:rPr>
        <w:t xml:space="preserve">. Recipients may also include </w:t>
      </w:r>
      <w:r w:rsidR="00B22CB9">
        <w:rPr>
          <w:rStyle w:val="normaltextrun"/>
          <w:rFonts w:ascii="Calibri" w:hAnsi="Calibri" w:cs="Calibri"/>
          <w:sz w:val="22"/>
          <w:szCs w:val="22"/>
          <w:lang w:val="en-US"/>
        </w:rPr>
        <w:t xml:space="preserve">patients with </w:t>
      </w:r>
      <w:r>
        <w:rPr>
          <w:rStyle w:val="normaltextrun"/>
          <w:rFonts w:ascii="Calibri" w:hAnsi="Calibri" w:cs="Calibri"/>
          <w:sz w:val="22"/>
          <w:szCs w:val="22"/>
          <w:lang w:val="en-US"/>
        </w:rPr>
        <w:t>type 1</w:t>
      </w:r>
      <w:r w:rsidR="00B22CB9">
        <w:rPr>
          <w:rStyle w:val="normaltextrun"/>
          <w:rFonts w:ascii="Calibri" w:hAnsi="Calibri" w:cs="Calibri"/>
          <w:sz w:val="22"/>
          <w:szCs w:val="22"/>
          <w:lang w:val="en-US"/>
        </w:rPr>
        <w:t xml:space="preserve"> diabetes</w:t>
      </w:r>
      <w:r>
        <w:rPr>
          <w:rStyle w:val="normaltextrun"/>
          <w:rFonts w:ascii="Calibri" w:hAnsi="Calibri" w:cs="Calibri"/>
          <w:sz w:val="22"/>
          <w:szCs w:val="22"/>
          <w:lang w:val="en-US"/>
        </w:rPr>
        <w:t xml:space="preserve"> with preserved renal function and </w:t>
      </w:r>
      <w:r w:rsidR="00B22CB9">
        <w:rPr>
          <w:rStyle w:val="normaltextrun"/>
          <w:rFonts w:ascii="Calibri" w:hAnsi="Calibri" w:cs="Calibri"/>
          <w:sz w:val="22"/>
          <w:szCs w:val="22"/>
          <w:lang w:val="en-US"/>
        </w:rPr>
        <w:t>those with type 2 diabetes</w:t>
      </w:r>
      <w:r w:rsidR="00695578">
        <w:rPr>
          <w:rStyle w:val="normaltextrun"/>
          <w:rFonts w:ascii="Calibri" w:hAnsi="Calibri" w:cs="Calibri"/>
          <w:sz w:val="22"/>
          <w:szCs w:val="22"/>
          <w:lang w:val="en-US"/>
        </w:rPr>
        <w:t>,</w:t>
      </w:r>
      <w:r>
        <w:rPr>
          <w:rStyle w:val="normaltextrun"/>
          <w:rFonts w:ascii="Calibri" w:hAnsi="Calibri" w:cs="Calibri"/>
          <w:sz w:val="22"/>
          <w:szCs w:val="22"/>
          <w:lang w:val="en-US"/>
        </w:rPr>
        <w:t xml:space="preserve"> but these patients are less common. The other types of pancreas transplant include pancreas after kidney transplant (PAK) and pancreas transplant alone (PA), but these are </w:t>
      </w:r>
      <w:r w:rsidR="00695578">
        <w:rPr>
          <w:rStyle w:val="normaltextrun"/>
          <w:rFonts w:ascii="Calibri" w:hAnsi="Calibri" w:cs="Calibri"/>
          <w:sz w:val="22"/>
          <w:szCs w:val="22"/>
          <w:lang w:val="en-US"/>
        </w:rPr>
        <w:t xml:space="preserve">also </w:t>
      </w:r>
      <w:r>
        <w:rPr>
          <w:rStyle w:val="normaltextrun"/>
          <w:rFonts w:ascii="Calibri" w:hAnsi="Calibri" w:cs="Calibri"/>
          <w:sz w:val="22"/>
          <w:szCs w:val="22"/>
          <w:lang w:val="en-US"/>
        </w:rPr>
        <w:t>less common.</w:t>
      </w:r>
      <w:r>
        <w:rPr>
          <w:rStyle w:val="eop"/>
          <w:rFonts w:ascii="Calibri" w:hAnsi="Calibri" w:cs="Calibri"/>
          <w:sz w:val="22"/>
          <w:szCs w:val="22"/>
        </w:rPr>
        <w:t> </w:t>
      </w:r>
    </w:p>
    <w:p w14:paraId="149ED1FF" w14:textId="77777777" w:rsidR="00695578" w:rsidRDefault="00695578" w:rsidP="00CF5331">
      <w:pPr>
        <w:pStyle w:val="paragraph"/>
        <w:spacing w:before="0" w:beforeAutospacing="0" w:after="0" w:afterAutospacing="0"/>
        <w:textAlignment w:val="baseline"/>
        <w:rPr>
          <w:rStyle w:val="normaltextrun"/>
          <w:rFonts w:ascii="Calibri" w:hAnsi="Calibri" w:cs="Calibri"/>
          <w:sz w:val="22"/>
          <w:szCs w:val="22"/>
          <w:lang w:val="en-US"/>
        </w:rPr>
      </w:pPr>
    </w:p>
    <w:p w14:paraId="2BEAE74C"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Patients undergoing SPK benefit from improved overall survival, decreased diabetic nephropathy of kidney graft, improved neuropathy, decreased arterial vascular disease, and decreased cardiovascular death. </w:t>
      </w:r>
      <w:r>
        <w:rPr>
          <w:rStyle w:val="eop"/>
          <w:rFonts w:ascii="Calibri" w:hAnsi="Calibri" w:cs="Calibri"/>
          <w:sz w:val="22"/>
          <w:szCs w:val="22"/>
        </w:rPr>
        <w:t> </w:t>
      </w:r>
    </w:p>
    <w:p w14:paraId="6DB82945" w14:textId="77777777" w:rsidR="00695578" w:rsidRDefault="00695578" w:rsidP="00CF5331">
      <w:pPr>
        <w:pStyle w:val="paragraph"/>
        <w:spacing w:before="0" w:beforeAutospacing="0" w:after="0" w:afterAutospacing="0"/>
        <w:textAlignment w:val="baseline"/>
        <w:rPr>
          <w:rStyle w:val="normaltextrun"/>
          <w:rFonts w:ascii="Calibri" w:hAnsi="Calibri" w:cs="Calibri"/>
          <w:sz w:val="22"/>
          <w:szCs w:val="22"/>
          <w:lang w:val="en-US"/>
        </w:rPr>
      </w:pPr>
    </w:p>
    <w:p w14:paraId="4D143407" w14:textId="47F6EA7C"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Patient exclusion criteria</w:t>
      </w:r>
      <w:r w:rsidR="00E81E59">
        <w:rPr>
          <w:rStyle w:val="normaltextrun"/>
          <w:rFonts w:ascii="Calibri" w:hAnsi="Calibri" w:cs="Calibri"/>
          <w:sz w:val="22"/>
          <w:szCs w:val="22"/>
          <w:lang w:val="en-US"/>
        </w:rPr>
        <w:t xml:space="preserve"> </w:t>
      </w:r>
      <w:r w:rsidR="0053233B">
        <w:rPr>
          <w:rStyle w:val="normaltextrun"/>
          <w:rFonts w:ascii="Calibri" w:hAnsi="Calibri" w:cs="Calibri"/>
          <w:sz w:val="22"/>
          <w:szCs w:val="22"/>
          <w:lang w:val="en-US"/>
        </w:rPr>
        <w:t>(</w:t>
      </w:r>
      <w:r w:rsidR="00E81E59">
        <w:rPr>
          <w:rStyle w:val="normaltextrun"/>
          <w:rFonts w:ascii="Calibri" w:hAnsi="Calibri" w:cs="Calibri"/>
          <w:sz w:val="22"/>
          <w:szCs w:val="22"/>
          <w:lang w:val="en-US"/>
        </w:rPr>
        <w:t>determined by the transplant surgeons</w:t>
      </w:r>
      <w:r w:rsidR="0053233B">
        <w:rPr>
          <w:rStyle w:val="normaltextrun"/>
          <w:rFonts w:ascii="Calibri" w:hAnsi="Calibri" w:cs="Calibri"/>
          <w:sz w:val="22"/>
          <w:szCs w:val="22"/>
          <w:lang w:val="en-US"/>
        </w:rPr>
        <w:t>)</w:t>
      </w:r>
      <w:r>
        <w:rPr>
          <w:rStyle w:val="normaltextrun"/>
          <w:rFonts w:ascii="Calibri" w:hAnsi="Calibri" w:cs="Calibri"/>
          <w:sz w:val="22"/>
          <w:szCs w:val="22"/>
          <w:lang w:val="en-US"/>
        </w:rPr>
        <w:t xml:space="preserve"> include age &lt; 18 or &gt; 60, BMI &gt; 35, positive stress test without correctable coronary artery disease, smoking history with moderate to severe smoking related comorbidities, moderate to severe peripheral vascular disease, and hypercoagulable disorders.</w:t>
      </w:r>
      <w:r>
        <w:rPr>
          <w:rStyle w:val="eop"/>
          <w:rFonts w:ascii="Calibri" w:hAnsi="Calibri" w:cs="Calibri"/>
          <w:sz w:val="22"/>
          <w:szCs w:val="22"/>
        </w:rPr>
        <w:t> </w:t>
      </w:r>
    </w:p>
    <w:p w14:paraId="1B1CC30B"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39732FF3"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Surgeons</w:t>
      </w:r>
      <w:r>
        <w:rPr>
          <w:rStyle w:val="eop"/>
          <w:rFonts w:ascii="Calibri" w:hAnsi="Calibri" w:cs="Calibri"/>
          <w:sz w:val="22"/>
          <w:szCs w:val="22"/>
        </w:rPr>
        <w:t> </w:t>
      </w:r>
    </w:p>
    <w:p w14:paraId="1303448A"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Drs. Bleszynski and Oldani (hepatobiliary surgeons) will perform pancreas transplants, supported by Drs. Kim, Chartier-Plante, Harriman, and </w:t>
      </w:r>
      <w:proofErr w:type="spellStart"/>
      <w:r>
        <w:rPr>
          <w:rStyle w:val="normaltextrun"/>
          <w:rFonts w:ascii="Calibri" w:hAnsi="Calibri" w:cs="Calibri"/>
          <w:sz w:val="22"/>
          <w:szCs w:val="22"/>
          <w:lang w:val="en-US"/>
        </w:rPr>
        <w:t>Nguan</w:t>
      </w:r>
      <w:proofErr w:type="spellEnd"/>
      <w:r>
        <w:rPr>
          <w:rStyle w:val="normaltextrun"/>
          <w:rFonts w:ascii="Calibri" w:hAnsi="Calibri" w:cs="Calibri"/>
          <w:sz w:val="22"/>
          <w:szCs w:val="22"/>
          <w:lang w:val="en-US"/>
        </w:rPr>
        <w:t>. </w:t>
      </w:r>
      <w:r>
        <w:rPr>
          <w:rStyle w:val="eop"/>
          <w:rFonts w:ascii="Calibri" w:hAnsi="Calibri" w:cs="Calibri"/>
          <w:sz w:val="22"/>
          <w:szCs w:val="22"/>
        </w:rPr>
        <w:t> </w:t>
      </w:r>
    </w:p>
    <w:p w14:paraId="7F690BA4"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7BF0848A"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Cases</w:t>
      </w:r>
      <w:r>
        <w:rPr>
          <w:rStyle w:val="eop"/>
          <w:rFonts w:ascii="Calibri" w:hAnsi="Calibri" w:cs="Calibri"/>
          <w:sz w:val="22"/>
          <w:szCs w:val="22"/>
        </w:rPr>
        <w:t> </w:t>
      </w:r>
    </w:p>
    <w:p w14:paraId="5519ACF9"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The yearly goal is 25 pancreas transplants which will be a combination of SPK, PAK, and PA transplants.</w:t>
      </w:r>
      <w:r>
        <w:rPr>
          <w:rStyle w:val="eop"/>
          <w:rFonts w:ascii="Calibri" w:hAnsi="Calibri" w:cs="Calibri"/>
          <w:sz w:val="22"/>
          <w:szCs w:val="22"/>
        </w:rPr>
        <w:t> </w:t>
      </w:r>
    </w:p>
    <w:p w14:paraId="550DBCA0"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0B0A1CBF"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Preoperative assessment (anesthesia relevant)</w:t>
      </w:r>
      <w:r>
        <w:rPr>
          <w:rStyle w:val="eop"/>
          <w:rFonts w:ascii="Calibri" w:hAnsi="Calibri" w:cs="Calibri"/>
          <w:sz w:val="22"/>
          <w:szCs w:val="22"/>
        </w:rPr>
        <w:t> </w:t>
      </w:r>
    </w:p>
    <w:p w14:paraId="1DFD7DF7" w14:textId="3291ACAE" w:rsidR="00CF5331" w:rsidRDefault="00153409" w:rsidP="00CF5331">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ECG, </w:t>
      </w:r>
      <w:r w:rsidR="00CF5331">
        <w:rPr>
          <w:rStyle w:val="normaltextrun"/>
          <w:rFonts w:ascii="Calibri" w:hAnsi="Calibri" w:cs="Calibri"/>
          <w:sz w:val="22"/>
          <w:szCs w:val="22"/>
          <w:lang w:val="en-US"/>
        </w:rPr>
        <w:t>TTE</w:t>
      </w:r>
      <w:r w:rsidR="00CF5331">
        <w:rPr>
          <w:rStyle w:val="eop"/>
          <w:rFonts w:ascii="Calibri" w:hAnsi="Calibri" w:cs="Calibri"/>
          <w:sz w:val="22"/>
          <w:szCs w:val="22"/>
        </w:rPr>
        <w:t> </w:t>
      </w:r>
    </w:p>
    <w:p w14:paraId="20D63783" w14:textId="5219107C" w:rsidR="00CF5331" w:rsidRDefault="00CF5331" w:rsidP="00CF5331">
      <w:pPr>
        <w:pStyle w:val="paragraph"/>
        <w:numPr>
          <w:ilvl w:val="0"/>
          <w:numId w:val="1"/>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US"/>
        </w:rPr>
        <w:t>MIBI +/- cardiology consultation if abnormalities identified on TTE</w:t>
      </w:r>
      <w:r>
        <w:rPr>
          <w:rStyle w:val="eop"/>
          <w:rFonts w:ascii="Calibri" w:hAnsi="Calibri" w:cs="Calibri"/>
          <w:sz w:val="22"/>
          <w:szCs w:val="22"/>
          <w:lang w:val="en-US"/>
        </w:rPr>
        <w:t> </w:t>
      </w:r>
      <w:r w:rsidR="00DF3148">
        <w:rPr>
          <w:rStyle w:val="eop"/>
          <w:rFonts w:ascii="Calibri" w:hAnsi="Calibri" w:cs="Calibri"/>
          <w:sz w:val="22"/>
          <w:szCs w:val="22"/>
          <w:lang w:val="en-US"/>
        </w:rPr>
        <w:t>or MIBI</w:t>
      </w:r>
    </w:p>
    <w:p w14:paraId="551C5AB4" w14:textId="456BB40F" w:rsidR="00CF5331" w:rsidRDefault="00CF5331" w:rsidP="00CF5331">
      <w:pPr>
        <w:pStyle w:val="paragraph"/>
        <w:numPr>
          <w:ilvl w:val="0"/>
          <w:numId w:val="1"/>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US"/>
        </w:rPr>
        <w:t xml:space="preserve">Investigations will be </w:t>
      </w:r>
      <w:r w:rsidR="00B22CB9">
        <w:rPr>
          <w:rStyle w:val="normaltextrun"/>
          <w:rFonts w:ascii="Calibri" w:hAnsi="Calibri" w:cs="Calibri"/>
          <w:sz w:val="22"/>
          <w:szCs w:val="22"/>
          <w:lang w:val="en-US"/>
        </w:rPr>
        <w:t>similar to</w:t>
      </w:r>
      <w:r>
        <w:rPr>
          <w:rStyle w:val="normaltextrun"/>
          <w:rFonts w:ascii="Calibri" w:hAnsi="Calibri" w:cs="Calibri"/>
          <w:sz w:val="22"/>
          <w:szCs w:val="22"/>
          <w:lang w:val="en-US"/>
        </w:rPr>
        <w:t xml:space="preserve"> kidney transplant </w:t>
      </w:r>
      <w:r w:rsidR="00153409">
        <w:rPr>
          <w:rStyle w:val="normaltextrun"/>
          <w:rFonts w:ascii="Calibri" w:hAnsi="Calibri" w:cs="Calibri"/>
          <w:sz w:val="22"/>
          <w:szCs w:val="22"/>
          <w:lang w:val="en-US"/>
        </w:rPr>
        <w:t>recipients</w:t>
      </w:r>
    </w:p>
    <w:p w14:paraId="3BD09B7C"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4CE9B3B2"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Pre-operative checklist:</w:t>
      </w:r>
      <w:r>
        <w:rPr>
          <w:rStyle w:val="eop"/>
          <w:rFonts w:ascii="Calibri" w:hAnsi="Calibri" w:cs="Calibri"/>
          <w:sz w:val="22"/>
          <w:szCs w:val="22"/>
        </w:rPr>
        <w:t> </w:t>
      </w:r>
    </w:p>
    <w:p w14:paraId="3C9F90BA" w14:textId="797D3C3B" w:rsidR="00CF5331" w:rsidRDefault="00CF5331" w:rsidP="00CF533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Should have received oral tacrolimus on call to OR </w:t>
      </w:r>
      <w:r w:rsidR="00B22CB9">
        <w:rPr>
          <w:rStyle w:val="normaltextrun"/>
          <w:rFonts w:ascii="Calibri" w:hAnsi="Calibri" w:cs="Calibri"/>
          <w:sz w:val="22"/>
          <w:szCs w:val="22"/>
          <w:lang w:val="en-US"/>
        </w:rPr>
        <w:t>(</w:t>
      </w:r>
      <w:r>
        <w:rPr>
          <w:rStyle w:val="normaltextrun"/>
          <w:rFonts w:ascii="Calibri" w:hAnsi="Calibri" w:cs="Calibri"/>
          <w:sz w:val="22"/>
          <w:szCs w:val="22"/>
          <w:lang w:val="en-US"/>
        </w:rPr>
        <w:t>or earlier in the day</w:t>
      </w:r>
      <w:r w:rsidR="00B22CB9">
        <w:rPr>
          <w:rStyle w:val="normaltextrun"/>
          <w:rFonts w:ascii="Calibri" w:hAnsi="Calibri" w:cs="Calibri"/>
          <w:sz w:val="22"/>
          <w:szCs w:val="22"/>
          <w:lang w:val="en-US"/>
        </w:rPr>
        <w:t>)</w:t>
      </w:r>
      <w:r>
        <w:rPr>
          <w:rStyle w:val="eop"/>
          <w:rFonts w:ascii="Calibri" w:hAnsi="Calibri" w:cs="Calibri"/>
          <w:sz w:val="22"/>
          <w:szCs w:val="22"/>
        </w:rPr>
        <w:t> </w:t>
      </w:r>
    </w:p>
    <w:p w14:paraId="507FF9F9" w14:textId="77777777" w:rsidR="00CF5331" w:rsidRDefault="00CF5331" w:rsidP="00CF5331">
      <w:pPr>
        <w:pStyle w:val="paragraph"/>
        <w:numPr>
          <w:ilvl w:val="0"/>
          <w:numId w:val="2"/>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US"/>
        </w:rPr>
        <w:t xml:space="preserve">Antibiotic prophylaxis: 2g </w:t>
      </w:r>
      <w:r w:rsidR="008D182C">
        <w:rPr>
          <w:rStyle w:val="normaltextrun"/>
          <w:rFonts w:ascii="Calibri" w:hAnsi="Calibri" w:cs="Calibri"/>
          <w:sz w:val="22"/>
          <w:szCs w:val="22"/>
          <w:lang w:val="en-US"/>
        </w:rPr>
        <w:t>cefazolin, 500mg metronidazole, 200mg f</w:t>
      </w:r>
      <w:r>
        <w:rPr>
          <w:rStyle w:val="normaltextrun"/>
          <w:rFonts w:ascii="Calibri" w:hAnsi="Calibri" w:cs="Calibri"/>
          <w:sz w:val="22"/>
          <w:szCs w:val="22"/>
          <w:lang w:val="en-US"/>
        </w:rPr>
        <w:t>luconazole</w:t>
      </w:r>
      <w:r>
        <w:rPr>
          <w:rStyle w:val="eop"/>
          <w:rFonts w:ascii="Calibri" w:hAnsi="Calibri" w:cs="Calibri"/>
          <w:sz w:val="22"/>
          <w:szCs w:val="22"/>
          <w:lang w:val="en-US"/>
        </w:rPr>
        <w:t> </w:t>
      </w:r>
    </w:p>
    <w:p w14:paraId="58A5AD75" w14:textId="216554B4" w:rsidR="00CF5331" w:rsidRDefault="00CF5331" w:rsidP="00CF5331">
      <w:pPr>
        <w:pStyle w:val="paragraph"/>
        <w:numPr>
          <w:ilvl w:val="0"/>
          <w:numId w:val="2"/>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US"/>
        </w:rPr>
        <w:t xml:space="preserve">NG tube </w:t>
      </w:r>
      <w:r w:rsidR="00B22CB9">
        <w:rPr>
          <w:rStyle w:val="normaltextrun"/>
          <w:rFonts w:ascii="Calibri" w:hAnsi="Calibri" w:cs="Calibri"/>
          <w:sz w:val="22"/>
          <w:szCs w:val="22"/>
          <w:lang w:val="en-US"/>
        </w:rPr>
        <w:t>during OR</w:t>
      </w:r>
      <w:r>
        <w:rPr>
          <w:rStyle w:val="eop"/>
          <w:rFonts w:ascii="Calibri" w:hAnsi="Calibri" w:cs="Calibri"/>
          <w:sz w:val="22"/>
          <w:szCs w:val="22"/>
          <w:lang w:val="en-US"/>
        </w:rPr>
        <w:t> </w:t>
      </w:r>
    </w:p>
    <w:p w14:paraId="66FC3FD6" w14:textId="77777777" w:rsidR="00CF5331" w:rsidRDefault="00CF5331" w:rsidP="00CF5331">
      <w:pPr>
        <w:pStyle w:val="paragraph"/>
        <w:numPr>
          <w:ilvl w:val="0"/>
          <w:numId w:val="2"/>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US"/>
        </w:rPr>
        <w:t>CVC</w:t>
      </w:r>
      <w:r>
        <w:rPr>
          <w:rStyle w:val="eop"/>
          <w:rFonts w:ascii="Calibri" w:hAnsi="Calibri" w:cs="Calibri"/>
          <w:sz w:val="22"/>
          <w:szCs w:val="22"/>
          <w:lang w:val="en-US"/>
        </w:rPr>
        <w:t> </w:t>
      </w:r>
    </w:p>
    <w:p w14:paraId="7629E8E1" w14:textId="77567D66" w:rsidR="00CF5331" w:rsidRDefault="00CF5331" w:rsidP="00CF5331">
      <w:pPr>
        <w:pStyle w:val="paragraph"/>
        <w:numPr>
          <w:ilvl w:val="0"/>
          <w:numId w:val="2"/>
        </w:numPr>
        <w:spacing w:before="0" w:beforeAutospacing="0" w:after="0" w:afterAutospacing="0"/>
        <w:ind w:left="360" w:firstLine="0"/>
        <w:textAlignment w:val="baseline"/>
        <w:rPr>
          <w:rStyle w:val="eop"/>
          <w:rFonts w:ascii="Calibri" w:hAnsi="Calibri" w:cs="Calibri"/>
          <w:sz w:val="22"/>
          <w:szCs w:val="22"/>
          <w:lang w:val="en-US"/>
        </w:rPr>
      </w:pPr>
      <w:r>
        <w:rPr>
          <w:rStyle w:val="normaltextrun"/>
          <w:rFonts w:ascii="Calibri" w:hAnsi="Calibri" w:cs="Calibri"/>
          <w:sz w:val="22"/>
          <w:szCs w:val="22"/>
          <w:lang w:val="en-US"/>
        </w:rPr>
        <w:t>500mg methylprednis</w:t>
      </w:r>
      <w:r w:rsidR="008D182C">
        <w:rPr>
          <w:rStyle w:val="normaltextrun"/>
          <w:rFonts w:ascii="Calibri" w:hAnsi="Calibri" w:cs="Calibri"/>
          <w:sz w:val="22"/>
          <w:szCs w:val="22"/>
          <w:lang w:val="en-US"/>
        </w:rPr>
        <w:t>ol</w:t>
      </w:r>
      <w:r>
        <w:rPr>
          <w:rStyle w:val="normaltextrun"/>
          <w:rFonts w:ascii="Calibri" w:hAnsi="Calibri" w:cs="Calibri"/>
          <w:sz w:val="22"/>
          <w:szCs w:val="22"/>
          <w:lang w:val="en-US"/>
        </w:rPr>
        <w:t>one (intra-op)</w:t>
      </w:r>
      <w:r>
        <w:rPr>
          <w:rStyle w:val="eop"/>
          <w:rFonts w:ascii="Calibri" w:hAnsi="Calibri" w:cs="Calibri"/>
          <w:sz w:val="22"/>
          <w:szCs w:val="22"/>
          <w:lang w:val="en-US"/>
        </w:rPr>
        <w:t> </w:t>
      </w:r>
    </w:p>
    <w:p w14:paraId="4C159E1A" w14:textId="06C7C04C" w:rsidR="00E81E59" w:rsidRDefault="00E81E59" w:rsidP="00CF5331">
      <w:pPr>
        <w:pStyle w:val="paragraph"/>
        <w:numPr>
          <w:ilvl w:val="0"/>
          <w:numId w:val="2"/>
        </w:numPr>
        <w:spacing w:before="0" w:beforeAutospacing="0" w:after="0" w:afterAutospacing="0"/>
        <w:ind w:left="360" w:firstLine="0"/>
        <w:textAlignment w:val="baseline"/>
        <w:rPr>
          <w:rFonts w:ascii="Calibri" w:hAnsi="Calibri" w:cs="Calibri"/>
          <w:sz w:val="22"/>
          <w:szCs w:val="22"/>
          <w:lang w:val="en-US"/>
        </w:rPr>
      </w:pPr>
      <w:r>
        <w:rPr>
          <w:rFonts w:ascii="Calibri" w:hAnsi="Calibri" w:cs="Calibri"/>
          <w:sz w:val="22"/>
          <w:szCs w:val="22"/>
          <w:lang w:val="en-US"/>
        </w:rPr>
        <w:t>Mannitol</w:t>
      </w:r>
    </w:p>
    <w:p w14:paraId="40D7EE68" w14:textId="1978BD04" w:rsidR="00CF5331" w:rsidRDefault="00CF5331" w:rsidP="00CF5331">
      <w:pPr>
        <w:pStyle w:val="paragraph"/>
        <w:numPr>
          <w:ilvl w:val="0"/>
          <w:numId w:val="2"/>
        </w:numPr>
        <w:spacing w:before="0" w:beforeAutospacing="0" w:after="0" w:afterAutospacing="0"/>
        <w:ind w:left="360" w:firstLine="0"/>
        <w:textAlignment w:val="baseline"/>
        <w:rPr>
          <w:rStyle w:val="eop"/>
          <w:rFonts w:ascii="Calibri" w:hAnsi="Calibri" w:cs="Calibri"/>
          <w:sz w:val="22"/>
          <w:szCs w:val="22"/>
          <w:lang w:val="en-US"/>
        </w:rPr>
      </w:pPr>
      <w:r>
        <w:rPr>
          <w:rStyle w:val="normaltextrun"/>
          <w:rFonts w:ascii="Calibri" w:hAnsi="Calibri" w:cs="Calibri"/>
          <w:sz w:val="22"/>
          <w:szCs w:val="22"/>
          <w:lang w:val="en-US"/>
        </w:rPr>
        <w:t>ATG (intra-op</w:t>
      </w:r>
      <w:r w:rsidR="00153409">
        <w:rPr>
          <w:rStyle w:val="normaltextrun"/>
          <w:rFonts w:ascii="Calibri" w:hAnsi="Calibri" w:cs="Calibri"/>
          <w:sz w:val="22"/>
          <w:szCs w:val="22"/>
          <w:lang w:val="en-US"/>
        </w:rPr>
        <w:t xml:space="preserve"> – filter tubing required</w:t>
      </w:r>
      <w:r>
        <w:rPr>
          <w:rStyle w:val="normaltextrun"/>
          <w:rFonts w:ascii="Calibri" w:hAnsi="Calibri" w:cs="Calibri"/>
          <w:sz w:val="22"/>
          <w:szCs w:val="22"/>
          <w:lang w:val="en-US"/>
        </w:rPr>
        <w:t>)</w:t>
      </w:r>
      <w:r>
        <w:rPr>
          <w:rStyle w:val="eop"/>
          <w:rFonts w:ascii="Calibri" w:hAnsi="Calibri" w:cs="Calibri"/>
          <w:sz w:val="22"/>
          <w:szCs w:val="22"/>
          <w:lang w:val="en-US"/>
        </w:rPr>
        <w:t> </w:t>
      </w:r>
    </w:p>
    <w:p w14:paraId="47F80F68" w14:textId="323B3AA4" w:rsidR="00153409" w:rsidRDefault="00E81E59" w:rsidP="00CF5331">
      <w:pPr>
        <w:pStyle w:val="paragraph"/>
        <w:numPr>
          <w:ilvl w:val="0"/>
          <w:numId w:val="2"/>
        </w:numPr>
        <w:spacing w:before="0" w:beforeAutospacing="0" w:after="0" w:afterAutospacing="0"/>
        <w:ind w:left="360" w:firstLine="0"/>
        <w:textAlignment w:val="baseline"/>
        <w:rPr>
          <w:rFonts w:ascii="Calibri" w:hAnsi="Calibri" w:cs="Calibri"/>
          <w:sz w:val="22"/>
          <w:szCs w:val="22"/>
          <w:lang w:val="en-US"/>
        </w:rPr>
      </w:pPr>
      <w:r>
        <w:rPr>
          <w:rStyle w:val="eop"/>
          <w:rFonts w:ascii="Calibri" w:hAnsi="Calibri" w:cs="Calibri"/>
          <w:sz w:val="22"/>
          <w:szCs w:val="22"/>
          <w:lang w:val="en-US"/>
        </w:rPr>
        <w:t xml:space="preserve">+/- </w:t>
      </w:r>
      <w:r w:rsidR="00153409">
        <w:rPr>
          <w:rStyle w:val="eop"/>
          <w:rFonts w:ascii="Calibri" w:hAnsi="Calibri" w:cs="Calibri"/>
          <w:sz w:val="22"/>
          <w:szCs w:val="22"/>
          <w:lang w:val="en-US"/>
        </w:rPr>
        <w:t>furosemide, heparin</w:t>
      </w:r>
    </w:p>
    <w:p w14:paraId="36E1F090"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14D6838E" w14:textId="77777777"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Perioperative management</w:t>
      </w:r>
      <w:r>
        <w:rPr>
          <w:rStyle w:val="eop"/>
          <w:rFonts w:ascii="Calibri" w:hAnsi="Calibri" w:cs="Calibri"/>
          <w:sz w:val="22"/>
          <w:szCs w:val="22"/>
        </w:rPr>
        <w:t> </w:t>
      </w:r>
    </w:p>
    <w:p w14:paraId="04819DC1" w14:textId="77777777" w:rsidR="00695578" w:rsidRDefault="00695578" w:rsidP="00CF5331">
      <w:pPr>
        <w:pStyle w:val="paragraph"/>
        <w:spacing w:before="0" w:beforeAutospacing="0" w:after="0" w:afterAutospacing="0"/>
        <w:textAlignment w:val="baseline"/>
        <w:rPr>
          <w:rStyle w:val="normaltextrun"/>
          <w:rFonts w:ascii="Calibri" w:hAnsi="Calibri" w:cs="Calibri"/>
          <w:sz w:val="22"/>
          <w:szCs w:val="22"/>
          <w:lang w:val="en-US"/>
        </w:rPr>
      </w:pPr>
    </w:p>
    <w:p w14:paraId="54C08BE8" w14:textId="77777777" w:rsidR="00BB613B" w:rsidRDefault="00B22CB9" w:rsidP="00CF5331">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Pancreas transplants will be booked in a manner similar to lung and liver transplants, in that the “in-room time” is planned in communication with the donor site. </w:t>
      </w:r>
    </w:p>
    <w:p w14:paraId="74B7B342" w14:textId="77777777" w:rsidR="00BB613B" w:rsidRDefault="00BB613B" w:rsidP="00CF5331">
      <w:pPr>
        <w:pStyle w:val="paragraph"/>
        <w:spacing w:before="0" w:beforeAutospacing="0" w:after="0" w:afterAutospacing="0"/>
        <w:textAlignment w:val="baseline"/>
        <w:rPr>
          <w:rStyle w:val="normaltextrun"/>
          <w:rFonts w:ascii="Calibri" w:hAnsi="Calibri" w:cs="Calibri"/>
          <w:sz w:val="22"/>
          <w:szCs w:val="22"/>
          <w:lang w:val="en-US"/>
        </w:rPr>
      </w:pPr>
    </w:p>
    <w:p w14:paraId="163BA456" w14:textId="77777777" w:rsidR="00BB613B" w:rsidRDefault="00CF5331" w:rsidP="00CF5331">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lastRenderedPageBreak/>
        <w:t>These cases are performed through a large midline incision extending from the pubis to halfway above the umbilicus. The kidney is implanted first followed by the pancreas.</w:t>
      </w:r>
      <w:r w:rsidR="00695578">
        <w:rPr>
          <w:rStyle w:val="normaltextrun"/>
          <w:rFonts w:ascii="Calibri" w:hAnsi="Calibri" w:cs="Calibri"/>
          <w:sz w:val="22"/>
          <w:szCs w:val="22"/>
          <w:lang w:val="en-US"/>
        </w:rPr>
        <w:t xml:space="preserve"> The expected surgical time is approximately 5-6 hours.</w:t>
      </w:r>
      <w:r>
        <w:rPr>
          <w:rStyle w:val="normaltextrun"/>
          <w:rFonts w:ascii="Calibri" w:hAnsi="Calibri" w:cs="Calibri"/>
          <w:sz w:val="22"/>
          <w:szCs w:val="22"/>
          <w:lang w:val="en-US"/>
        </w:rPr>
        <w:t xml:space="preserve"> </w:t>
      </w:r>
    </w:p>
    <w:p w14:paraId="4E38E729" w14:textId="77777777" w:rsidR="00BB613B" w:rsidRDefault="00BB613B" w:rsidP="00BB613B">
      <w:pPr>
        <w:pStyle w:val="paragraph"/>
        <w:spacing w:before="0" w:beforeAutospacing="0" w:after="0" w:afterAutospacing="0"/>
        <w:textAlignment w:val="baseline"/>
        <w:rPr>
          <w:rStyle w:val="normaltextrun"/>
          <w:rFonts w:ascii="Calibri" w:hAnsi="Calibri" w:cs="Calibri"/>
          <w:sz w:val="22"/>
          <w:szCs w:val="22"/>
          <w:lang w:val="en-US"/>
        </w:rPr>
      </w:pPr>
    </w:p>
    <w:p w14:paraId="12A1F79C" w14:textId="6AA4C57B" w:rsidR="00BB613B" w:rsidRDefault="00BB613B" w:rsidP="00BB613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For pain control, Drs. Bleszynski and Oldani would rather us use PCA +/- fascial plane blocks/catheters and not place thoracic epidurals. Consideration should be given to reducing the maximum dose of local anesthetic in the context of ESRD. Some of these patients have significant autonomic dysfunction and are at risk of hemodynamic instability post operatively, which may be exacerbated by the sympathectomy of epidural block. This instability can contribute to hypoperfusion of the pancreas, kidney, and intestinal anastomoses, leading to graft failure and other complications. As a comparison, most pancreas transplants are performed without epidurals at other institutions. Patients who are predominantly younger and healthier could be considered for an epidural, but this should be discussed with the transplanting surgeon. Regardless of the analgesic modality, these patients should be followed by POPS. </w:t>
      </w:r>
    </w:p>
    <w:p w14:paraId="1A09D639" w14:textId="77777777" w:rsidR="00BB613B" w:rsidRDefault="00BB613B" w:rsidP="00CF5331">
      <w:pPr>
        <w:pStyle w:val="paragraph"/>
        <w:spacing w:before="0" w:beforeAutospacing="0" w:after="0" w:afterAutospacing="0"/>
        <w:textAlignment w:val="baseline"/>
        <w:rPr>
          <w:rStyle w:val="normaltextrun"/>
          <w:rFonts w:ascii="Calibri" w:hAnsi="Calibri" w:cs="Calibri"/>
          <w:sz w:val="22"/>
          <w:szCs w:val="22"/>
          <w:lang w:val="en-US"/>
        </w:rPr>
      </w:pPr>
    </w:p>
    <w:p w14:paraId="14823916" w14:textId="77BC1962" w:rsidR="00BB613B" w:rsidRPr="00EC165E" w:rsidRDefault="00CF5331" w:rsidP="00BB613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lang w:val="en-US"/>
        </w:rPr>
        <w:t xml:space="preserve">Large bore IV access, arterial line monitoring, and CVC are required (all SPK will receive ATG, </w:t>
      </w:r>
      <w:r w:rsidR="00695578">
        <w:rPr>
          <w:rStyle w:val="normaltextrun"/>
          <w:rFonts w:ascii="Calibri" w:hAnsi="Calibri" w:cs="Calibri"/>
          <w:sz w:val="22"/>
          <w:szCs w:val="22"/>
          <w:lang w:val="en-US"/>
        </w:rPr>
        <w:t>and post-operative ward bloodwork is</w:t>
      </w:r>
      <w:r>
        <w:rPr>
          <w:rStyle w:val="normaltextrun"/>
          <w:rFonts w:ascii="Calibri" w:hAnsi="Calibri" w:cs="Calibri"/>
          <w:sz w:val="22"/>
          <w:szCs w:val="22"/>
          <w:lang w:val="en-US"/>
        </w:rPr>
        <w:t xml:space="preserve"> facilitated by </w:t>
      </w:r>
      <w:r w:rsidR="00695578">
        <w:rPr>
          <w:rStyle w:val="normaltextrun"/>
          <w:rFonts w:ascii="Calibri" w:hAnsi="Calibri" w:cs="Calibri"/>
          <w:sz w:val="22"/>
          <w:szCs w:val="22"/>
          <w:lang w:val="en-US"/>
        </w:rPr>
        <w:t>a CVC</w:t>
      </w:r>
      <w:r>
        <w:rPr>
          <w:rStyle w:val="normaltextrun"/>
          <w:rFonts w:ascii="Calibri" w:hAnsi="Calibri" w:cs="Calibri"/>
          <w:sz w:val="22"/>
          <w:szCs w:val="22"/>
          <w:lang w:val="en-US"/>
        </w:rPr>
        <w:t xml:space="preserve">). There is a suggestion of 2 </w:t>
      </w:r>
      <w:proofErr w:type="spellStart"/>
      <w:r w:rsidR="00C7325F">
        <w:rPr>
          <w:rStyle w:val="normaltextrun"/>
          <w:rFonts w:ascii="Calibri" w:hAnsi="Calibri" w:cs="Calibri"/>
          <w:sz w:val="22"/>
          <w:szCs w:val="22"/>
          <w:lang w:val="en-US"/>
        </w:rPr>
        <w:t>litres</w:t>
      </w:r>
      <w:proofErr w:type="spellEnd"/>
      <w:r>
        <w:rPr>
          <w:rStyle w:val="normaltextrun"/>
          <w:rFonts w:ascii="Calibri" w:hAnsi="Calibri" w:cs="Calibri"/>
          <w:sz w:val="22"/>
          <w:szCs w:val="22"/>
          <w:lang w:val="en-US"/>
        </w:rPr>
        <w:t xml:space="preserve"> of crystalloid for the kidney transplant with an additional 2-3 </w:t>
      </w:r>
      <w:proofErr w:type="spellStart"/>
      <w:r w:rsidR="00C7325F">
        <w:rPr>
          <w:rStyle w:val="normaltextrun"/>
          <w:rFonts w:ascii="Calibri" w:hAnsi="Calibri" w:cs="Calibri"/>
          <w:sz w:val="22"/>
          <w:szCs w:val="22"/>
          <w:lang w:val="en-US"/>
        </w:rPr>
        <w:t>litres</w:t>
      </w:r>
      <w:proofErr w:type="spellEnd"/>
      <w:r>
        <w:rPr>
          <w:rStyle w:val="normaltextrun"/>
          <w:rFonts w:ascii="Calibri" w:hAnsi="Calibri" w:cs="Calibri"/>
          <w:sz w:val="22"/>
          <w:szCs w:val="22"/>
          <w:lang w:val="en-US"/>
        </w:rPr>
        <w:t xml:space="preserve"> of crystalloid for the pancreas transplant. This is in the range of 10 ml/kg/h which is like that published in the RELIEF trial (NEJM 2018) for other major abdominal surgeries. A dynamic indicator of volume status like the </w:t>
      </w:r>
      <w:proofErr w:type="spellStart"/>
      <w:r>
        <w:rPr>
          <w:rStyle w:val="normaltextrun"/>
          <w:rFonts w:ascii="Calibri" w:hAnsi="Calibri" w:cs="Calibri"/>
          <w:sz w:val="22"/>
          <w:szCs w:val="22"/>
          <w:lang w:val="en-US"/>
        </w:rPr>
        <w:t>Flotrac</w:t>
      </w:r>
      <w:proofErr w:type="spellEnd"/>
      <w:r>
        <w:rPr>
          <w:rStyle w:val="normaltextrun"/>
          <w:rFonts w:ascii="Calibri" w:hAnsi="Calibri" w:cs="Calibri"/>
          <w:sz w:val="22"/>
          <w:szCs w:val="22"/>
          <w:lang w:val="en-US"/>
        </w:rPr>
        <w:t xml:space="preserve"> or SPV i</w:t>
      </w:r>
      <w:r w:rsidR="00BB613B">
        <w:rPr>
          <w:rStyle w:val="normaltextrun"/>
          <w:rFonts w:ascii="Calibri" w:hAnsi="Calibri" w:cs="Calibri"/>
          <w:sz w:val="22"/>
          <w:szCs w:val="22"/>
          <w:lang w:val="en-US"/>
        </w:rPr>
        <w:t>s useful to guide fluid therapy and maintain euvolemia</w:t>
      </w:r>
      <w:r w:rsidR="0053233B">
        <w:rPr>
          <w:rStyle w:val="normaltextrun"/>
          <w:rFonts w:ascii="Calibri" w:hAnsi="Calibri" w:cs="Calibri"/>
          <w:sz w:val="22"/>
          <w:szCs w:val="22"/>
          <w:lang w:val="en-US"/>
        </w:rPr>
        <w:t xml:space="preserve"> and graft perfusion</w:t>
      </w:r>
      <w:r w:rsidR="00BB613B">
        <w:rPr>
          <w:rStyle w:val="normaltextrun"/>
          <w:rFonts w:ascii="Calibri" w:hAnsi="Calibri" w:cs="Calibri"/>
          <w:sz w:val="22"/>
          <w:szCs w:val="22"/>
          <w:lang w:val="en-US"/>
        </w:rPr>
        <w:t>.</w:t>
      </w:r>
    </w:p>
    <w:p w14:paraId="053E9262"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lang w:val="en-US"/>
        </w:rPr>
      </w:pPr>
    </w:p>
    <w:p w14:paraId="43E71B32" w14:textId="6919E892" w:rsidR="00CF5331" w:rsidRPr="00EC165E" w:rsidRDefault="00695578" w:rsidP="00CF533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lang w:val="en-US"/>
        </w:rPr>
        <w:t>It is expected that there will be no exogenous insulin requirements</w:t>
      </w:r>
      <w:r w:rsidR="00CF5331">
        <w:rPr>
          <w:rStyle w:val="normaltextrun"/>
          <w:rFonts w:ascii="Calibri" w:hAnsi="Calibri" w:cs="Calibri"/>
          <w:sz w:val="22"/>
          <w:szCs w:val="22"/>
          <w:lang w:val="en-US"/>
        </w:rPr>
        <w:t xml:space="preserve"> following reperfusion and adequate functioning of the new </w:t>
      </w:r>
      <w:r>
        <w:rPr>
          <w:rStyle w:val="normaltextrun"/>
          <w:rFonts w:ascii="Calibri" w:hAnsi="Calibri" w:cs="Calibri"/>
          <w:sz w:val="22"/>
          <w:szCs w:val="22"/>
          <w:lang w:val="en-US"/>
        </w:rPr>
        <w:t>pancreas</w:t>
      </w:r>
      <w:r w:rsidR="00CF5331">
        <w:rPr>
          <w:rStyle w:val="normaltextrun"/>
          <w:rFonts w:ascii="Calibri" w:hAnsi="Calibri" w:cs="Calibri"/>
          <w:sz w:val="22"/>
          <w:szCs w:val="22"/>
          <w:lang w:val="en-US"/>
        </w:rPr>
        <w:t xml:space="preserve">. If an insulin infusion is running in the OR it should be turned off at the time of reperfusion. </w:t>
      </w:r>
      <w:r w:rsidR="007414B0">
        <w:rPr>
          <w:rStyle w:val="normaltextrun"/>
          <w:rFonts w:ascii="Calibri" w:hAnsi="Calibri" w:cs="Calibri"/>
          <w:sz w:val="22"/>
          <w:szCs w:val="22"/>
          <w:lang w:val="en-US"/>
        </w:rPr>
        <w:t xml:space="preserve">Glucose checks should be performed pre- and post-reperfusion to ensure graft function. </w:t>
      </w:r>
      <w:r w:rsidR="00CF5331">
        <w:rPr>
          <w:rStyle w:val="normaltextrun"/>
          <w:rFonts w:ascii="Calibri" w:hAnsi="Calibri" w:cs="Calibri"/>
          <w:sz w:val="22"/>
          <w:szCs w:val="22"/>
          <w:lang w:val="en-US"/>
        </w:rPr>
        <w:t xml:space="preserve">Post-operatively, no form of insulin or diabetic medication </w:t>
      </w:r>
      <w:r w:rsidR="00DF3148">
        <w:rPr>
          <w:rStyle w:val="normaltextrun"/>
          <w:rFonts w:ascii="Calibri" w:hAnsi="Calibri" w:cs="Calibri"/>
          <w:sz w:val="22"/>
          <w:szCs w:val="22"/>
          <w:lang w:val="en-US"/>
        </w:rPr>
        <w:t>should be ordered</w:t>
      </w:r>
      <w:r w:rsidR="00B22CB9">
        <w:rPr>
          <w:rStyle w:val="normaltextrun"/>
          <w:rFonts w:ascii="Calibri" w:hAnsi="Calibri" w:cs="Calibri"/>
          <w:sz w:val="22"/>
          <w:szCs w:val="22"/>
          <w:lang w:val="en-US"/>
        </w:rPr>
        <w:t>. If</w:t>
      </w:r>
      <w:r w:rsidR="00CF5331">
        <w:rPr>
          <w:rStyle w:val="normaltextrun"/>
          <w:rFonts w:ascii="Calibri" w:hAnsi="Calibri" w:cs="Calibri"/>
          <w:sz w:val="22"/>
          <w:szCs w:val="22"/>
          <w:lang w:val="en-US"/>
        </w:rPr>
        <w:t xml:space="preserve"> there is</w:t>
      </w:r>
      <w:r w:rsidR="00B22CB9">
        <w:rPr>
          <w:rStyle w:val="normaltextrun"/>
          <w:rFonts w:ascii="Calibri" w:hAnsi="Calibri" w:cs="Calibri"/>
          <w:sz w:val="22"/>
          <w:szCs w:val="22"/>
          <w:lang w:val="en-US"/>
        </w:rPr>
        <w:t xml:space="preserve"> post-operative</w:t>
      </w:r>
      <w:r w:rsidR="00CF5331">
        <w:rPr>
          <w:rStyle w:val="normaltextrun"/>
          <w:rFonts w:ascii="Calibri" w:hAnsi="Calibri" w:cs="Calibri"/>
          <w:sz w:val="22"/>
          <w:szCs w:val="22"/>
          <w:lang w:val="en-US"/>
        </w:rPr>
        <w:t xml:space="preserve"> hyperglycemia, the attending surgeon </w:t>
      </w:r>
      <w:r w:rsidR="00B22CB9">
        <w:rPr>
          <w:rStyle w:val="normaltextrun"/>
          <w:rFonts w:ascii="Calibri" w:hAnsi="Calibri" w:cs="Calibri"/>
          <w:sz w:val="22"/>
          <w:szCs w:val="22"/>
          <w:lang w:val="en-US"/>
        </w:rPr>
        <w:t>should be informed</w:t>
      </w:r>
      <w:r w:rsidR="00CF5331">
        <w:rPr>
          <w:rStyle w:val="normaltextrun"/>
          <w:rFonts w:ascii="Calibri" w:hAnsi="Calibri" w:cs="Calibri"/>
          <w:sz w:val="22"/>
          <w:szCs w:val="22"/>
          <w:lang w:val="en-US"/>
        </w:rPr>
        <w:t xml:space="preserve"> immediately, </w:t>
      </w:r>
      <w:r w:rsidR="00B22CB9">
        <w:rPr>
          <w:rStyle w:val="normaltextrun"/>
          <w:rFonts w:ascii="Calibri" w:hAnsi="Calibri" w:cs="Calibri"/>
          <w:sz w:val="22"/>
          <w:szCs w:val="22"/>
          <w:lang w:val="en-US"/>
        </w:rPr>
        <w:t>as</w:t>
      </w:r>
      <w:r w:rsidR="00CF5331">
        <w:rPr>
          <w:rStyle w:val="normaltextrun"/>
          <w:rFonts w:ascii="Calibri" w:hAnsi="Calibri" w:cs="Calibri"/>
          <w:sz w:val="22"/>
          <w:szCs w:val="22"/>
          <w:lang w:val="en-US"/>
        </w:rPr>
        <w:t xml:space="preserve"> it can be an indication of rejection, graft failure, or vascular thr</w:t>
      </w:r>
      <w:r w:rsidR="00EC165E">
        <w:rPr>
          <w:rStyle w:val="normaltextrun"/>
          <w:rFonts w:ascii="Calibri" w:hAnsi="Calibri" w:cs="Calibri"/>
          <w:sz w:val="22"/>
          <w:szCs w:val="22"/>
          <w:lang w:val="en-US"/>
        </w:rPr>
        <w:t>ombosis</w:t>
      </w:r>
      <w:r w:rsidR="00CF5331">
        <w:rPr>
          <w:rStyle w:val="normaltextrun"/>
          <w:rFonts w:ascii="Calibri" w:hAnsi="Calibri" w:cs="Calibri"/>
          <w:sz w:val="22"/>
          <w:szCs w:val="22"/>
          <w:lang w:val="en-US"/>
        </w:rPr>
        <w:t>. There should be no post-operative insulin orders including sliding scale.</w:t>
      </w:r>
      <w:r w:rsidR="00CF5331">
        <w:rPr>
          <w:rStyle w:val="eop"/>
          <w:rFonts w:ascii="Calibri" w:hAnsi="Calibri" w:cs="Calibri"/>
          <w:sz w:val="22"/>
          <w:szCs w:val="22"/>
        </w:rPr>
        <w:t> </w:t>
      </w:r>
    </w:p>
    <w:p w14:paraId="0968B41C"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lang w:val="en-US"/>
        </w:rPr>
      </w:pPr>
    </w:p>
    <w:p w14:paraId="10D25018" w14:textId="50B50445" w:rsidR="00CF5331" w:rsidRDefault="00CF5331" w:rsidP="00CF5331">
      <w:pPr>
        <w:pStyle w:val="paragraph"/>
        <w:spacing w:before="0" w:beforeAutospacing="0" w:after="0" w:afterAutospacing="0"/>
        <w:textAlignment w:val="baseline"/>
        <w:rPr>
          <w:rFonts w:ascii="Calibri" w:hAnsi="Calibri" w:cs="Calibri"/>
          <w:sz w:val="22"/>
          <w:szCs w:val="22"/>
          <w:lang w:val="en-US"/>
        </w:rPr>
      </w:pPr>
      <w:r>
        <w:rPr>
          <w:rStyle w:val="normaltextrun"/>
          <w:rFonts w:ascii="Calibri" w:hAnsi="Calibri" w:cs="Calibri"/>
          <w:sz w:val="22"/>
          <w:szCs w:val="22"/>
          <w:lang w:val="en-US"/>
        </w:rPr>
        <w:t>Post-operatively these patients can be extubated in the OR and taken to the PACU. They will have a mandatory stay in the PACU of 6 hours, like a kidney transplant recipient, before discharge to the transplant ward. They will be followed closely in PACU by transplant nephrology. They will have an ultrasound performed on POD 1 as well as DVT prophylaxis started. If the OR is very stable and smooth, ASA may start on POD</w:t>
      </w:r>
      <w:r w:rsidR="00B22CB9">
        <w:rPr>
          <w:rStyle w:val="normaltextrun"/>
          <w:rFonts w:ascii="Calibri" w:hAnsi="Calibri" w:cs="Calibri"/>
          <w:sz w:val="22"/>
          <w:szCs w:val="22"/>
          <w:lang w:val="en-US"/>
        </w:rPr>
        <w:t xml:space="preserve"> </w:t>
      </w:r>
      <w:r>
        <w:rPr>
          <w:rStyle w:val="normaltextrun"/>
          <w:rFonts w:ascii="Calibri" w:hAnsi="Calibri" w:cs="Calibri"/>
          <w:sz w:val="22"/>
          <w:szCs w:val="22"/>
          <w:lang w:val="en-US"/>
        </w:rPr>
        <w:t>1.</w:t>
      </w:r>
      <w:r>
        <w:rPr>
          <w:rStyle w:val="eop"/>
          <w:rFonts w:ascii="Calibri" w:hAnsi="Calibri" w:cs="Calibri"/>
          <w:sz w:val="22"/>
          <w:szCs w:val="22"/>
          <w:lang w:val="en-US"/>
        </w:rPr>
        <w:t> </w:t>
      </w:r>
    </w:p>
    <w:p w14:paraId="6F576BDA" w14:textId="77777777" w:rsidR="00CF5331" w:rsidRDefault="00CF5331" w:rsidP="00CF5331">
      <w:pPr>
        <w:pStyle w:val="paragraph"/>
        <w:spacing w:before="0" w:beforeAutospacing="0" w:after="0" w:afterAutospacing="0"/>
        <w:textAlignment w:val="baseline"/>
        <w:rPr>
          <w:rStyle w:val="normaltextrun"/>
          <w:rFonts w:ascii="Calibri" w:hAnsi="Calibri" w:cs="Calibri"/>
          <w:sz w:val="22"/>
          <w:szCs w:val="22"/>
          <w:u w:val="single"/>
          <w:lang w:val="en-US"/>
        </w:rPr>
      </w:pPr>
    </w:p>
    <w:p w14:paraId="07D180D0" w14:textId="71C9F2E2" w:rsidR="00CF5331" w:rsidRDefault="00CF5331" w:rsidP="00CF53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lang w:val="en-US"/>
        </w:rPr>
        <w:t>Post</w:t>
      </w:r>
      <w:r w:rsidR="00B22CB9">
        <w:rPr>
          <w:rStyle w:val="normaltextrun"/>
          <w:rFonts w:ascii="Calibri" w:hAnsi="Calibri" w:cs="Calibri"/>
          <w:sz w:val="22"/>
          <w:szCs w:val="22"/>
          <w:u w:val="single"/>
          <w:lang w:val="en-US"/>
        </w:rPr>
        <w:t>-</w:t>
      </w:r>
      <w:r>
        <w:rPr>
          <w:rStyle w:val="normaltextrun"/>
          <w:rFonts w:ascii="Calibri" w:hAnsi="Calibri" w:cs="Calibri"/>
          <w:sz w:val="22"/>
          <w:szCs w:val="22"/>
          <w:u w:val="single"/>
          <w:lang w:val="en-US"/>
        </w:rPr>
        <w:t>operative complications</w:t>
      </w:r>
      <w:r>
        <w:rPr>
          <w:rStyle w:val="eop"/>
          <w:rFonts w:ascii="Calibri" w:hAnsi="Calibri" w:cs="Calibri"/>
          <w:sz w:val="22"/>
          <w:szCs w:val="22"/>
        </w:rPr>
        <w:t> </w:t>
      </w:r>
    </w:p>
    <w:p w14:paraId="0B474D5C" w14:textId="77777777" w:rsidR="00CF5331" w:rsidRDefault="00CF5331" w:rsidP="00CF5331">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Graft thrombosis (venous or arterial)</w:t>
      </w:r>
      <w:r>
        <w:rPr>
          <w:rStyle w:val="eop"/>
          <w:rFonts w:ascii="Calibri" w:hAnsi="Calibri" w:cs="Calibri"/>
          <w:sz w:val="22"/>
          <w:szCs w:val="22"/>
        </w:rPr>
        <w:t> </w:t>
      </w:r>
    </w:p>
    <w:p w14:paraId="496F72D3" w14:textId="155BD345" w:rsidR="00CF5331" w:rsidRDefault="00CF5331" w:rsidP="00CF533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US"/>
        </w:rPr>
        <w:t xml:space="preserve">May </w:t>
      </w:r>
      <w:r w:rsidR="00B22CB9">
        <w:rPr>
          <w:rStyle w:val="normaltextrun"/>
          <w:rFonts w:ascii="Calibri" w:hAnsi="Calibri" w:cs="Calibri"/>
          <w:sz w:val="22"/>
          <w:szCs w:val="22"/>
          <w:lang w:val="en-US"/>
        </w:rPr>
        <w:t>require</w:t>
      </w:r>
      <w:r>
        <w:rPr>
          <w:rStyle w:val="normaltextrun"/>
          <w:rFonts w:ascii="Calibri" w:hAnsi="Calibri" w:cs="Calibri"/>
          <w:sz w:val="22"/>
          <w:szCs w:val="22"/>
          <w:lang w:val="en-US"/>
        </w:rPr>
        <w:t xml:space="preserve"> anticoagulation</w:t>
      </w:r>
      <w:r>
        <w:rPr>
          <w:rStyle w:val="eop"/>
          <w:rFonts w:ascii="Calibri" w:hAnsi="Calibri" w:cs="Calibri"/>
          <w:sz w:val="22"/>
          <w:szCs w:val="22"/>
        </w:rPr>
        <w:t> </w:t>
      </w:r>
    </w:p>
    <w:p w14:paraId="5394EF87" w14:textId="77777777" w:rsidR="00CF5331" w:rsidRDefault="00CF5331" w:rsidP="00CF5331">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Hemorrhage</w:t>
      </w:r>
      <w:r>
        <w:rPr>
          <w:rStyle w:val="eop"/>
          <w:rFonts w:ascii="Calibri" w:hAnsi="Calibri" w:cs="Calibri"/>
          <w:sz w:val="22"/>
          <w:szCs w:val="22"/>
        </w:rPr>
        <w:t> </w:t>
      </w:r>
    </w:p>
    <w:p w14:paraId="13B5F6F2" w14:textId="77777777" w:rsidR="00CF5331" w:rsidRDefault="00CF5331" w:rsidP="00CF5331">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Bowel leak</w:t>
      </w:r>
      <w:r>
        <w:rPr>
          <w:rStyle w:val="eop"/>
          <w:rFonts w:ascii="Calibri" w:hAnsi="Calibri" w:cs="Calibri"/>
          <w:sz w:val="22"/>
          <w:szCs w:val="22"/>
        </w:rPr>
        <w:t> </w:t>
      </w:r>
    </w:p>
    <w:p w14:paraId="46CF60C7" w14:textId="77777777" w:rsidR="00CF5331" w:rsidRDefault="00CF5331" w:rsidP="00CF5331">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Pancreatitis</w:t>
      </w:r>
      <w:r>
        <w:rPr>
          <w:rStyle w:val="eop"/>
          <w:rFonts w:ascii="Calibri" w:hAnsi="Calibri" w:cs="Calibri"/>
          <w:sz w:val="22"/>
          <w:szCs w:val="22"/>
        </w:rPr>
        <w:t> </w:t>
      </w:r>
    </w:p>
    <w:p w14:paraId="1CC09B58" w14:textId="77777777" w:rsidR="00CF5331" w:rsidRDefault="00CF5331" w:rsidP="00CF5331">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Re-look laparotomy</w:t>
      </w:r>
      <w:r>
        <w:rPr>
          <w:rStyle w:val="eop"/>
          <w:rFonts w:ascii="Calibri" w:hAnsi="Calibri" w:cs="Calibri"/>
          <w:sz w:val="22"/>
          <w:szCs w:val="22"/>
        </w:rPr>
        <w:t> </w:t>
      </w:r>
    </w:p>
    <w:p w14:paraId="24144BC6" w14:textId="77777777" w:rsidR="00CF5331" w:rsidRDefault="00CF5331" w:rsidP="00CF5331">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Graft pancreatectomy</w:t>
      </w:r>
      <w:r>
        <w:rPr>
          <w:rStyle w:val="eop"/>
          <w:rFonts w:ascii="Calibri" w:hAnsi="Calibri" w:cs="Calibri"/>
          <w:sz w:val="22"/>
          <w:szCs w:val="22"/>
        </w:rPr>
        <w:t> </w:t>
      </w:r>
    </w:p>
    <w:p w14:paraId="39ABA560" w14:textId="77777777" w:rsidR="00CF5331" w:rsidRDefault="00CF5331" w:rsidP="00CF5331">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Rejection</w:t>
      </w:r>
      <w:r>
        <w:rPr>
          <w:rStyle w:val="eop"/>
          <w:rFonts w:ascii="Calibri" w:hAnsi="Calibri" w:cs="Calibri"/>
          <w:sz w:val="22"/>
          <w:szCs w:val="22"/>
        </w:rPr>
        <w:t> </w:t>
      </w:r>
    </w:p>
    <w:p w14:paraId="08F4216E" w14:textId="4B66378C" w:rsidR="00697C20" w:rsidRDefault="00697C20"/>
    <w:p w14:paraId="2B6DD625" w14:textId="785D4547" w:rsidR="00EC165E" w:rsidRPr="00EE1684" w:rsidRDefault="00EC165E">
      <w:pPr>
        <w:rPr>
          <w:sz w:val="20"/>
          <w:szCs w:val="20"/>
          <w:u w:val="single"/>
        </w:rPr>
      </w:pPr>
      <w:r w:rsidRPr="00EE1684">
        <w:rPr>
          <w:sz w:val="20"/>
          <w:szCs w:val="20"/>
          <w:u w:val="single"/>
        </w:rPr>
        <w:t>References</w:t>
      </w:r>
    </w:p>
    <w:p w14:paraId="72E4F14E" w14:textId="4D5DFC53" w:rsidR="00EE1684" w:rsidRPr="00EE1684" w:rsidRDefault="00EE1684" w:rsidP="00EC165E">
      <w:pPr>
        <w:pStyle w:val="ListParagraph"/>
        <w:numPr>
          <w:ilvl w:val="0"/>
          <w:numId w:val="6"/>
        </w:numPr>
        <w:rPr>
          <w:sz w:val="20"/>
          <w:szCs w:val="20"/>
        </w:rPr>
      </w:pPr>
      <w:r w:rsidRPr="00EE1684">
        <w:rPr>
          <w:sz w:val="20"/>
          <w:szCs w:val="20"/>
        </w:rPr>
        <w:lastRenderedPageBreak/>
        <w:t xml:space="preserve">Mittel, A and Wagener, G. </w:t>
      </w:r>
      <w:r w:rsidRPr="00EE1684">
        <w:rPr>
          <w:i/>
          <w:sz w:val="20"/>
          <w:szCs w:val="20"/>
        </w:rPr>
        <w:t xml:space="preserve">Anesthesia for Kidney and Pancreas Transplantation, </w:t>
      </w:r>
      <w:proofErr w:type="spellStart"/>
      <w:r w:rsidRPr="00EE1684">
        <w:rPr>
          <w:sz w:val="20"/>
          <w:szCs w:val="20"/>
        </w:rPr>
        <w:t>Anesthesiol</w:t>
      </w:r>
      <w:proofErr w:type="spellEnd"/>
      <w:r w:rsidRPr="00EE1684">
        <w:rPr>
          <w:sz w:val="20"/>
          <w:szCs w:val="20"/>
        </w:rPr>
        <w:t xml:space="preserve"> Clin 35, 2017:35;439-452.</w:t>
      </w:r>
    </w:p>
    <w:p w14:paraId="2D379D52" w14:textId="5EC2D151" w:rsidR="00EC165E" w:rsidRPr="00EE1684" w:rsidRDefault="00EC165E" w:rsidP="00EC165E">
      <w:pPr>
        <w:pStyle w:val="ListParagraph"/>
        <w:numPr>
          <w:ilvl w:val="0"/>
          <w:numId w:val="6"/>
        </w:numPr>
        <w:rPr>
          <w:sz w:val="20"/>
          <w:szCs w:val="20"/>
        </w:rPr>
      </w:pPr>
      <w:r w:rsidRPr="00EE1684">
        <w:rPr>
          <w:sz w:val="20"/>
          <w:szCs w:val="20"/>
        </w:rPr>
        <w:t xml:space="preserve">Kronish, K and Hirose, R 2020, </w:t>
      </w:r>
      <w:r w:rsidRPr="00EE1684">
        <w:rPr>
          <w:i/>
          <w:sz w:val="20"/>
          <w:szCs w:val="20"/>
        </w:rPr>
        <w:t xml:space="preserve">Pancreas Transplant, </w:t>
      </w:r>
      <w:r w:rsidRPr="00EE1684">
        <w:rPr>
          <w:sz w:val="20"/>
          <w:szCs w:val="20"/>
        </w:rPr>
        <w:t xml:space="preserve">UCSF Department of Anesthesia and Perioperative Care, accessed 23 October 2023, &lt; </w:t>
      </w:r>
      <w:hyperlink r:id="rId7" w:history="1">
        <w:r w:rsidRPr="00EE1684">
          <w:rPr>
            <w:rStyle w:val="Hyperlink"/>
            <w:sz w:val="20"/>
            <w:szCs w:val="20"/>
          </w:rPr>
          <w:t>https://anesthesia.ucsf.edu/clinical-resources/pancreas-transplant</w:t>
        </w:r>
      </w:hyperlink>
      <w:r w:rsidRPr="00EE1684">
        <w:rPr>
          <w:sz w:val="20"/>
          <w:szCs w:val="20"/>
        </w:rPr>
        <w:t>&gt;.</w:t>
      </w:r>
    </w:p>
    <w:p w14:paraId="55716574" w14:textId="51AFB17E" w:rsidR="00EC165E" w:rsidRPr="00EE1684" w:rsidRDefault="00EE1684" w:rsidP="00EC165E">
      <w:pPr>
        <w:pStyle w:val="ListParagraph"/>
        <w:numPr>
          <w:ilvl w:val="0"/>
          <w:numId w:val="6"/>
        </w:numPr>
        <w:rPr>
          <w:sz w:val="20"/>
          <w:szCs w:val="20"/>
        </w:rPr>
      </w:pPr>
      <w:r w:rsidRPr="00EE1684">
        <w:rPr>
          <w:sz w:val="20"/>
          <w:szCs w:val="20"/>
        </w:rPr>
        <w:t>Kandaswamy et al.</w:t>
      </w:r>
      <w:r w:rsidR="00E81E59" w:rsidRPr="00EE1684">
        <w:rPr>
          <w:sz w:val="20"/>
          <w:szCs w:val="20"/>
        </w:rPr>
        <w:t xml:space="preserve"> </w:t>
      </w:r>
      <w:r w:rsidRPr="00EE1684">
        <w:rPr>
          <w:i/>
          <w:sz w:val="20"/>
          <w:szCs w:val="20"/>
        </w:rPr>
        <w:t>OPTN/SRTR 2020 Annual Data Report: Pancreas</w:t>
      </w:r>
      <w:r w:rsidRPr="00EE1684">
        <w:rPr>
          <w:sz w:val="20"/>
          <w:szCs w:val="20"/>
        </w:rPr>
        <w:t xml:space="preserve">, American Journal of Transplantation, </w:t>
      </w:r>
      <w:proofErr w:type="gramStart"/>
      <w:r w:rsidRPr="00EE1684">
        <w:rPr>
          <w:sz w:val="20"/>
          <w:szCs w:val="20"/>
        </w:rPr>
        <w:t>2022:Vol</w:t>
      </w:r>
      <w:proofErr w:type="gramEnd"/>
      <w:r w:rsidRPr="00EE1684">
        <w:rPr>
          <w:sz w:val="20"/>
          <w:szCs w:val="20"/>
        </w:rPr>
        <w:t xml:space="preserve"> 2 Supp 22;pp137-203.</w:t>
      </w:r>
    </w:p>
    <w:sectPr w:rsidR="00EC165E" w:rsidRPr="00EE168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7834" w14:textId="77777777" w:rsidR="00EC165E" w:rsidRDefault="00EC165E" w:rsidP="00EC165E">
      <w:pPr>
        <w:spacing w:after="0" w:line="240" w:lineRule="auto"/>
      </w:pPr>
      <w:r>
        <w:separator/>
      </w:r>
    </w:p>
  </w:endnote>
  <w:endnote w:type="continuationSeparator" w:id="0">
    <w:p w14:paraId="6A183BE0" w14:textId="77777777" w:rsidR="00EC165E" w:rsidRDefault="00EC165E" w:rsidP="00EC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06B" w14:textId="77777777" w:rsidR="00EC165E" w:rsidRDefault="00EC165E" w:rsidP="00EC165E">
      <w:pPr>
        <w:spacing w:after="0" w:line="240" w:lineRule="auto"/>
      </w:pPr>
      <w:r>
        <w:separator/>
      </w:r>
    </w:p>
  </w:footnote>
  <w:footnote w:type="continuationSeparator" w:id="0">
    <w:p w14:paraId="1E06BAE4" w14:textId="77777777" w:rsidR="00EC165E" w:rsidRDefault="00EC165E" w:rsidP="00EC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6994" w14:textId="3F737542" w:rsidR="00EC165E" w:rsidRDefault="00EC165E">
    <w:pPr>
      <w:pStyle w:val="Header"/>
    </w:pPr>
    <w:r>
      <w:tab/>
    </w:r>
    <w:r>
      <w:tab/>
      <w:t>October 2023</w:t>
    </w:r>
  </w:p>
  <w:p w14:paraId="4C6B153F" w14:textId="77777777" w:rsidR="00EC165E" w:rsidRDefault="00EC1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869"/>
    <w:multiLevelType w:val="hybridMultilevel"/>
    <w:tmpl w:val="E0E67B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066149"/>
    <w:multiLevelType w:val="multilevel"/>
    <w:tmpl w:val="E5B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57132"/>
    <w:multiLevelType w:val="multilevel"/>
    <w:tmpl w:val="A568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17D56"/>
    <w:multiLevelType w:val="multilevel"/>
    <w:tmpl w:val="58BA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F965BD"/>
    <w:multiLevelType w:val="multilevel"/>
    <w:tmpl w:val="8FEA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B65DAE"/>
    <w:multiLevelType w:val="multilevel"/>
    <w:tmpl w:val="5A92E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93183769">
    <w:abstractNumId w:val="2"/>
  </w:num>
  <w:num w:numId="2" w16cid:durableId="355421769">
    <w:abstractNumId w:val="4"/>
  </w:num>
  <w:num w:numId="3" w16cid:durableId="838690164">
    <w:abstractNumId w:val="1"/>
  </w:num>
  <w:num w:numId="4" w16cid:durableId="506945622">
    <w:abstractNumId w:val="5"/>
  </w:num>
  <w:num w:numId="5" w16cid:durableId="1528910785">
    <w:abstractNumId w:val="3"/>
  </w:num>
  <w:num w:numId="6" w16cid:durableId="104644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31"/>
    <w:rsid w:val="00153409"/>
    <w:rsid w:val="003261E8"/>
    <w:rsid w:val="0053233B"/>
    <w:rsid w:val="005862FA"/>
    <w:rsid w:val="00695578"/>
    <w:rsid w:val="00697C20"/>
    <w:rsid w:val="006A0B5C"/>
    <w:rsid w:val="007414B0"/>
    <w:rsid w:val="008D182C"/>
    <w:rsid w:val="00991108"/>
    <w:rsid w:val="00B22CB9"/>
    <w:rsid w:val="00BB613B"/>
    <w:rsid w:val="00C7325F"/>
    <w:rsid w:val="00CF5331"/>
    <w:rsid w:val="00DF3148"/>
    <w:rsid w:val="00E81E59"/>
    <w:rsid w:val="00EC165E"/>
    <w:rsid w:val="00EE16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01EF"/>
  <w15:chartTrackingRefBased/>
  <w15:docId w15:val="{B1817B06-D3B2-4D9C-B012-B6D7BF3B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533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CF5331"/>
  </w:style>
  <w:style w:type="character" w:customStyle="1" w:styleId="eop">
    <w:name w:val="eop"/>
    <w:basedOn w:val="DefaultParagraphFont"/>
    <w:rsid w:val="00CF5331"/>
  </w:style>
  <w:style w:type="paragraph" w:styleId="Header">
    <w:name w:val="header"/>
    <w:basedOn w:val="Normal"/>
    <w:link w:val="HeaderChar"/>
    <w:uiPriority w:val="99"/>
    <w:unhideWhenUsed/>
    <w:rsid w:val="00EC1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5E"/>
  </w:style>
  <w:style w:type="paragraph" w:styleId="Footer">
    <w:name w:val="footer"/>
    <w:basedOn w:val="Normal"/>
    <w:link w:val="FooterChar"/>
    <w:uiPriority w:val="99"/>
    <w:unhideWhenUsed/>
    <w:rsid w:val="00EC1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5E"/>
  </w:style>
  <w:style w:type="paragraph" w:styleId="ListParagraph">
    <w:name w:val="List Paragraph"/>
    <w:basedOn w:val="Normal"/>
    <w:uiPriority w:val="34"/>
    <w:qFormat/>
    <w:rsid w:val="00EC165E"/>
    <w:pPr>
      <w:ind w:left="720"/>
      <w:contextualSpacing/>
    </w:pPr>
  </w:style>
  <w:style w:type="character" w:styleId="Hyperlink">
    <w:name w:val="Hyperlink"/>
    <w:basedOn w:val="DefaultParagraphFont"/>
    <w:uiPriority w:val="99"/>
    <w:unhideWhenUsed/>
    <w:rsid w:val="00EC16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94830">
      <w:bodyDiv w:val="1"/>
      <w:marLeft w:val="0"/>
      <w:marRight w:val="0"/>
      <w:marTop w:val="0"/>
      <w:marBottom w:val="0"/>
      <w:divBdr>
        <w:top w:val="none" w:sz="0" w:space="0" w:color="auto"/>
        <w:left w:val="none" w:sz="0" w:space="0" w:color="auto"/>
        <w:bottom w:val="none" w:sz="0" w:space="0" w:color="auto"/>
        <w:right w:val="none" w:sz="0" w:space="0" w:color="auto"/>
      </w:divBdr>
      <w:divsChild>
        <w:div w:id="1605650359">
          <w:marLeft w:val="0"/>
          <w:marRight w:val="0"/>
          <w:marTop w:val="0"/>
          <w:marBottom w:val="0"/>
          <w:divBdr>
            <w:top w:val="none" w:sz="0" w:space="0" w:color="auto"/>
            <w:left w:val="none" w:sz="0" w:space="0" w:color="auto"/>
            <w:bottom w:val="none" w:sz="0" w:space="0" w:color="auto"/>
            <w:right w:val="none" w:sz="0" w:space="0" w:color="auto"/>
          </w:divBdr>
        </w:div>
        <w:div w:id="1192886598">
          <w:marLeft w:val="0"/>
          <w:marRight w:val="0"/>
          <w:marTop w:val="0"/>
          <w:marBottom w:val="0"/>
          <w:divBdr>
            <w:top w:val="none" w:sz="0" w:space="0" w:color="auto"/>
            <w:left w:val="none" w:sz="0" w:space="0" w:color="auto"/>
            <w:bottom w:val="none" w:sz="0" w:space="0" w:color="auto"/>
            <w:right w:val="none" w:sz="0" w:space="0" w:color="auto"/>
          </w:divBdr>
        </w:div>
        <w:div w:id="1781562681">
          <w:marLeft w:val="0"/>
          <w:marRight w:val="0"/>
          <w:marTop w:val="0"/>
          <w:marBottom w:val="0"/>
          <w:divBdr>
            <w:top w:val="none" w:sz="0" w:space="0" w:color="auto"/>
            <w:left w:val="none" w:sz="0" w:space="0" w:color="auto"/>
            <w:bottom w:val="none" w:sz="0" w:space="0" w:color="auto"/>
            <w:right w:val="none" w:sz="0" w:space="0" w:color="auto"/>
          </w:divBdr>
        </w:div>
        <w:div w:id="480970684">
          <w:marLeft w:val="0"/>
          <w:marRight w:val="0"/>
          <w:marTop w:val="0"/>
          <w:marBottom w:val="0"/>
          <w:divBdr>
            <w:top w:val="none" w:sz="0" w:space="0" w:color="auto"/>
            <w:left w:val="none" w:sz="0" w:space="0" w:color="auto"/>
            <w:bottom w:val="none" w:sz="0" w:space="0" w:color="auto"/>
            <w:right w:val="none" w:sz="0" w:space="0" w:color="auto"/>
          </w:divBdr>
        </w:div>
        <w:div w:id="1062410065">
          <w:marLeft w:val="0"/>
          <w:marRight w:val="0"/>
          <w:marTop w:val="0"/>
          <w:marBottom w:val="0"/>
          <w:divBdr>
            <w:top w:val="none" w:sz="0" w:space="0" w:color="auto"/>
            <w:left w:val="none" w:sz="0" w:space="0" w:color="auto"/>
            <w:bottom w:val="none" w:sz="0" w:space="0" w:color="auto"/>
            <w:right w:val="none" w:sz="0" w:space="0" w:color="auto"/>
          </w:divBdr>
        </w:div>
        <w:div w:id="96219468">
          <w:marLeft w:val="0"/>
          <w:marRight w:val="0"/>
          <w:marTop w:val="0"/>
          <w:marBottom w:val="0"/>
          <w:divBdr>
            <w:top w:val="none" w:sz="0" w:space="0" w:color="auto"/>
            <w:left w:val="none" w:sz="0" w:space="0" w:color="auto"/>
            <w:bottom w:val="none" w:sz="0" w:space="0" w:color="auto"/>
            <w:right w:val="none" w:sz="0" w:space="0" w:color="auto"/>
          </w:divBdr>
        </w:div>
        <w:div w:id="977026221">
          <w:marLeft w:val="0"/>
          <w:marRight w:val="0"/>
          <w:marTop w:val="0"/>
          <w:marBottom w:val="0"/>
          <w:divBdr>
            <w:top w:val="none" w:sz="0" w:space="0" w:color="auto"/>
            <w:left w:val="none" w:sz="0" w:space="0" w:color="auto"/>
            <w:bottom w:val="none" w:sz="0" w:space="0" w:color="auto"/>
            <w:right w:val="none" w:sz="0" w:space="0" w:color="auto"/>
          </w:divBdr>
        </w:div>
        <w:div w:id="1472475617">
          <w:marLeft w:val="0"/>
          <w:marRight w:val="0"/>
          <w:marTop w:val="0"/>
          <w:marBottom w:val="0"/>
          <w:divBdr>
            <w:top w:val="none" w:sz="0" w:space="0" w:color="auto"/>
            <w:left w:val="none" w:sz="0" w:space="0" w:color="auto"/>
            <w:bottom w:val="none" w:sz="0" w:space="0" w:color="auto"/>
            <w:right w:val="none" w:sz="0" w:space="0" w:color="auto"/>
          </w:divBdr>
        </w:div>
        <w:div w:id="510535284">
          <w:marLeft w:val="0"/>
          <w:marRight w:val="0"/>
          <w:marTop w:val="0"/>
          <w:marBottom w:val="0"/>
          <w:divBdr>
            <w:top w:val="none" w:sz="0" w:space="0" w:color="auto"/>
            <w:left w:val="none" w:sz="0" w:space="0" w:color="auto"/>
            <w:bottom w:val="none" w:sz="0" w:space="0" w:color="auto"/>
            <w:right w:val="none" w:sz="0" w:space="0" w:color="auto"/>
          </w:divBdr>
        </w:div>
        <w:div w:id="952438763">
          <w:marLeft w:val="0"/>
          <w:marRight w:val="0"/>
          <w:marTop w:val="0"/>
          <w:marBottom w:val="0"/>
          <w:divBdr>
            <w:top w:val="none" w:sz="0" w:space="0" w:color="auto"/>
            <w:left w:val="none" w:sz="0" w:space="0" w:color="auto"/>
            <w:bottom w:val="none" w:sz="0" w:space="0" w:color="auto"/>
            <w:right w:val="none" w:sz="0" w:space="0" w:color="auto"/>
          </w:divBdr>
        </w:div>
        <w:div w:id="989092416">
          <w:marLeft w:val="0"/>
          <w:marRight w:val="0"/>
          <w:marTop w:val="0"/>
          <w:marBottom w:val="0"/>
          <w:divBdr>
            <w:top w:val="none" w:sz="0" w:space="0" w:color="auto"/>
            <w:left w:val="none" w:sz="0" w:space="0" w:color="auto"/>
            <w:bottom w:val="none" w:sz="0" w:space="0" w:color="auto"/>
            <w:right w:val="none" w:sz="0" w:space="0" w:color="auto"/>
          </w:divBdr>
        </w:div>
        <w:div w:id="1660767192">
          <w:marLeft w:val="0"/>
          <w:marRight w:val="0"/>
          <w:marTop w:val="0"/>
          <w:marBottom w:val="0"/>
          <w:divBdr>
            <w:top w:val="none" w:sz="0" w:space="0" w:color="auto"/>
            <w:left w:val="none" w:sz="0" w:space="0" w:color="auto"/>
            <w:bottom w:val="none" w:sz="0" w:space="0" w:color="auto"/>
            <w:right w:val="none" w:sz="0" w:space="0" w:color="auto"/>
          </w:divBdr>
        </w:div>
        <w:div w:id="1168400269">
          <w:marLeft w:val="0"/>
          <w:marRight w:val="0"/>
          <w:marTop w:val="0"/>
          <w:marBottom w:val="0"/>
          <w:divBdr>
            <w:top w:val="none" w:sz="0" w:space="0" w:color="auto"/>
            <w:left w:val="none" w:sz="0" w:space="0" w:color="auto"/>
            <w:bottom w:val="none" w:sz="0" w:space="0" w:color="auto"/>
            <w:right w:val="none" w:sz="0" w:space="0" w:color="auto"/>
          </w:divBdr>
        </w:div>
        <w:div w:id="1451584789">
          <w:marLeft w:val="0"/>
          <w:marRight w:val="0"/>
          <w:marTop w:val="0"/>
          <w:marBottom w:val="0"/>
          <w:divBdr>
            <w:top w:val="none" w:sz="0" w:space="0" w:color="auto"/>
            <w:left w:val="none" w:sz="0" w:space="0" w:color="auto"/>
            <w:bottom w:val="none" w:sz="0" w:space="0" w:color="auto"/>
            <w:right w:val="none" w:sz="0" w:space="0" w:color="auto"/>
          </w:divBdr>
        </w:div>
        <w:div w:id="1757362705">
          <w:marLeft w:val="0"/>
          <w:marRight w:val="0"/>
          <w:marTop w:val="0"/>
          <w:marBottom w:val="0"/>
          <w:divBdr>
            <w:top w:val="none" w:sz="0" w:space="0" w:color="auto"/>
            <w:left w:val="none" w:sz="0" w:space="0" w:color="auto"/>
            <w:bottom w:val="none" w:sz="0" w:space="0" w:color="auto"/>
            <w:right w:val="none" w:sz="0" w:space="0" w:color="auto"/>
          </w:divBdr>
        </w:div>
        <w:div w:id="684480948">
          <w:marLeft w:val="0"/>
          <w:marRight w:val="0"/>
          <w:marTop w:val="0"/>
          <w:marBottom w:val="0"/>
          <w:divBdr>
            <w:top w:val="none" w:sz="0" w:space="0" w:color="auto"/>
            <w:left w:val="none" w:sz="0" w:space="0" w:color="auto"/>
            <w:bottom w:val="none" w:sz="0" w:space="0" w:color="auto"/>
            <w:right w:val="none" w:sz="0" w:space="0" w:color="auto"/>
          </w:divBdr>
        </w:div>
        <w:div w:id="27024422">
          <w:marLeft w:val="0"/>
          <w:marRight w:val="0"/>
          <w:marTop w:val="0"/>
          <w:marBottom w:val="0"/>
          <w:divBdr>
            <w:top w:val="none" w:sz="0" w:space="0" w:color="auto"/>
            <w:left w:val="none" w:sz="0" w:space="0" w:color="auto"/>
            <w:bottom w:val="none" w:sz="0" w:space="0" w:color="auto"/>
            <w:right w:val="none" w:sz="0" w:space="0" w:color="auto"/>
          </w:divBdr>
        </w:div>
        <w:div w:id="1340424432">
          <w:marLeft w:val="0"/>
          <w:marRight w:val="0"/>
          <w:marTop w:val="0"/>
          <w:marBottom w:val="0"/>
          <w:divBdr>
            <w:top w:val="none" w:sz="0" w:space="0" w:color="auto"/>
            <w:left w:val="none" w:sz="0" w:space="0" w:color="auto"/>
            <w:bottom w:val="none" w:sz="0" w:space="0" w:color="auto"/>
            <w:right w:val="none" w:sz="0" w:space="0" w:color="auto"/>
          </w:divBdr>
        </w:div>
        <w:div w:id="1280797083">
          <w:marLeft w:val="0"/>
          <w:marRight w:val="0"/>
          <w:marTop w:val="0"/>
          <w:marBottom w:val="0"/>
          <w:divBdr>
            <w:top w:val="none" w:sz="0" w:space="0" w:color="auto"/>
            <w:left w:val="none" w:sz="0" w:space="0" w:color="auto"/>
            <w:bottom w:val="none" w:sz="0" w:space="0" w:color="auto"/>
            <w:right w:val="none" w:sz="0" w:space="0" w:color="auto"/>
          </w:divBdr>
        </w:div>
        <w:div w:id="1236283754">
          <w:marLeft w:val="0"/>
          <w:marRight w:val="0"/>
          <w:marTop w:val="0"/>
          <w:marBottom w:val="0"/>
          <w:divBdr>
            <w:top w:val="none" w:sz="0" w:space="0" w:color="auto"/>
            <w:left w:val="none" w:sz="0" w:space="0" w:color="auto"/>
            <w:bottom w:val="none" w:sz="0" w:space="0" w:color="auto"/>
            <w:right w:val="none" w:sz="0" w:space="0" w:color="auto"/>
          </w:divBdr>
        </w:div>
        <w:div w:id="780565464">
          <w:marLeft w:val="0"/>
          <w:marRight w:val="0"/>
          <w:marTop w:val="0"/>
          <w:marBottom w:val="0"/>
          <w:divBdr>
            <w:top w:val="none" w:sz="0" w:space="0" w:color="auto"/>
            <w:left w:val="none" w:sz="0" w:space="0" w:color="auto"/>
            <w:bottom w:val="none" w:sz="0" w:space="0" w:color="auto"/>
            <w:right w:val="none" w:sz="0" w:space="0" w:color="auto"/>
          </w:divBdr>
        </w:div>
        <w:div w:id="74935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esthesia.ucsf.edu/clinical-resources/pancreas-trans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Steven [VA]</dc:creator>
  <cp:keywords/>
  <dc:description/>
  <cp:lastModifiedBy>Steven Lee</cp:lastModifiedBy>
  <cp:revision>2</cp:revision>
  <dcterms:created xsi:type="dcterms:W3CDTF">2023-10-26T22:49:00Z</dcterms:created>
  <dcterms:modified xsi:type="dcterms:W3CDTF">2023-10-26T22:49:00Z</dcterms:modified>
</cp:coreProperties>
</file>